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cs="宋体"/>
          <w:b/>
          <w:bCs/>
          <w:color w:val="auto"/>
          <w:sz w:val="40"/>
          <w:szCs w:val="40"/>
          <w:highlight w:val="none"/>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auto"/>
          <w:sz w:val="40"/>
          <w:szCs w:val="40"/>
          <w:highlight w:val="none"/>
          <w:shd w:val="clear" w:color="auto" w:fill="auto"/>
        </w:rPr>
      </w:pPr>
      <w:r>
        <w:rPr>
          <w:rFonts w:hint="eastAsia" w:cs="宋体"/>
          <w:b/>
          <w:bCs/>
          <w:color w:val="auto"/>
          <w:sz w:val="40"/>
          <w:szCs w:val="40"/>
          <w:highlight w:val="none"/>
          <w:shd w:val="clear" w:color="auto" w:fill="auto"/>
          <w:lang w:val="en-US" w:eastAsia="zh-CN"/>
        </w:rPr>
        <w:t>阜康市图书馆</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项目名称：昌州财教【2021】62号中央补助地方“三馆一站”免费开放补助资金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w:t>
      </w:r>
      <w:r>
        <w:rPr>
          <w:rFonts w:hint="eastAsia" w:cs="宋体"/>
          <w:b/>
          <w:color w:val="auto"/>
          <w:kern w:val="2"/>
          <w:sz w:val="28"/>
          <w:szCs w:val="28"/>
          <w:highlight w:val="none"/>
          <w:shd w:val="clear" w:color="auto" w:fill="auto"/>
          <w:lang w:val="en-US" w:eastAsia="zh-CN"/>
        </w:rPr>
        <w:t>阜康市图书馆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w:t>
      </w:r>
      <w:r>
        <w:rPr>
          <w:rFonts w:hint="eastAsia" w:cs="宋体"/>
          <w:b/>
          <w:color w:val="auto"/>
          <w:kern w:val="2"/>
          <w:sz w:val="28"/>
          <w:szCs w:val="28"/>
          <w:highlight w:val="none"/>
          <w:shd w:val="clear" w:color="auto" w:fill="auto"/>
          <w:lang w:val="en-US" w:eastAsia="zh-CN"/>
        </w:rPr>
        <w:t>阜康市图书馆</w:t>
      </w:r>
      <w:bookmarkStart w:id="14" w:name="_GoBack"/>
      <w:bookmarkEnd w:id="14"/>
    </w:p>
    <w:p>
      <w:pPr>
        <w:pStyle w:val="2"/>
        <w:rPr>
          <w:rFonts w:hint="eastAsia" w:ascii="宋体" w:hAnsi="宋体" w:eastAsia="宋体" w:cs="宋体"/>
          <w:b/>
          <w:color w:val="auto"/>
          <w:kern w:val="2"/>
          <w:sz w:val="28"/>
          <w:szCs w:val="28"/>
          <w:highlight w:val="none"/>
          <w:shd w:val="clear" w:color="auto" w:fill="auto"/>
          <w:lang w:val="en-US" w:eastAsia="zh-CN"/>
        </w:rPr>
      </w:pPr>
    </w:p>
    <w:p>
      <w:pPr>
        <w:rPr>
          <w:rFonts w:hint="eastAsia"/>
          <w:color w:val="auto"/>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outlineLvl w:val="9"/>
        <w:rPr>
          <w:rFonts w:hint="eastAsia" w:ascii="宋体" w:hAnsi="宋体" w:eastAsia="宋体" w:cs="宋体"/>
          <w:b/>
          <w:bCs/>
          <w:color w:val="auto"/>
          <w:sz w:val="36"/>
          <w:szCs w:val="36"/>
          <w:highlight w:val="none"/>
          <w:shd w:val="clear" w:color="auto" w:fill="auto"/>
          <w:lang w:val="en-US" w:eastAsia="zh-CN"/>
        </w:rPr>
      </w:pPr>
      <w:r>
        <w:rPr>
          <w:rFonts w:hint="eastAsia" w:ascii="宋体" w:hAnsi="宋体" w:eastAsia="宋体" w:cs="宋体"/>
          <w:b/>
          <w:bCs/>
          <w:color w:val="auto"/>
          <w:sz w:val="36"/>
          <w:szCs w:val="36"/>
          <w:highlight w:val="none"/>
          <w:shd w:val="clear" w:color="auto" w:fill="auto"/>
          <w:lang w:val="en-US" w:eastAsia="zh-CN"/>
        </w:rPr>
        <w:t>中央补助地方“三馆一站”免费开放补助资金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outlineLvl w:val="9"/>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p>
    <w:p>
      <w:pPr>
        <w:bidi w:val="0"/>
        <w:rPr>
          <w:rFonts w:hint="eastAsia"/>
          <w:color w:val="auto"/>
          <w:lang w:val="en-US" w:eastAsia="zh-CN"/>
        </w:rPr>
      </w:pPr>
      <w:r>
        <w:rPr>
          <w:rFonts w:hint="eastAsia"/>
          <w:color w:val="auto"/>
          <w:lang w:val="en-US" w:eastAsia="zh-CN"/>
        </w:rPr>
        <w:t>根据自治区财政厅关于提前下达《2022年中央补助地方美术馆公共图书馆，文化馆站免费开放补助资金预算的通知》(新财教2021 217号)文件精神,现提前下达你单位2022年中央补助地方美术馆、公共图书馆、文化馆免费开放专项资金20万元。</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ascii="宋体" w:hAnsi="宋体" w:eastAsia="宋体" w:cs="宋体"/>
          <w:b w:val="0"/>
          <w:bCs w:val="0"/>
          <w:color w:val="auto"/>
          <w:sz w:val="30"/>
          <w:szCs w:val="30"/>
          <w:lang w:val="en-US" w:eastAsia="zh-CN"/>
        </w:rPr>
        <w:t>2022年，阜康市图书馆在市文旅局党组的正确领导下，在上级业务部门的指导下，深入贯彻落实“文化润疆”工程，</w:t>
      </w:r>
      <w:r>
        <w:rPr>
          <w:rStyle w:val="11"/>
          <w:rFonts w:hint="eastAsia" w:ascii="宋体" w:hAnsi="宋体" w:eastAsia="宋体" w:cs="宋体"/>
          <w:b w:val="0"/>
          <w:bCs/>
          <w:color w:val="auto"/>
          <w:sz w:val="30"/>
          <w:szCs w:val="30"/>
          <w:lang w:val="en-US" w:eastAsia="zh-CN"/>
        </w:rPr>
        <w:t>紧扣“</w:t>
      </w:r>
      <w:r>
        <w:rPr>
          <w:rStyle w:val="11"/>
          <w:rFonts w:hint="eastAsia" w:ascii="宋体" w:hAnsi="宋体" w:eastAsia="宋体" w:cs="宋体"/>
          <w:b w:val="0"/>
          <w:bCs/>
          <w:color w:val="auto"/>
          <w:sz w:val="30"/>
          <w:szCs w:val="30"/>
        </w:rPr>
        <w:t>奋进新征程</w:t>
      </w:r>
      <w:r>
        <w:rPr>
          <w:rStyle w:val="11"/>
          <w:rFonts w:hint="eastAsia" w:ascii="宋体" w:hAnsi="宋体" w:eastAsia="宋体" w:cs="宋体"/>
          <w:b w:val="0"/>
          <w:bCs/>
          <w:color w:val="auto"/>
          <w:sz w:val="30"/>
          <w:szCs w:val="30"/>
          <w:lang w:eastAsia="zh-CN"/>
        </w:rPr>
        <w:t>，</w:t>
      </w:r>
      <w:r>
        <w:rPr>
          <w:rStyle w:val="11"/>
          <w:rFonts w:hint="eastAsia" w:ascii="宋体" w:hAnsi="宋体" w:eastAsia="宋体" w:cs="宋体"/>
          <w:b w:val="0"/>
          <w:bCs/>
          <w:color w:val="auto"/>
          <w:sz w:val="30"/>
          <w:szCs w:val="30"/>
        </w:rPr>
        <w:t>阅读再出发</w:t>
      </w:r>
      <w:r>
        <w:rPr>
          <w:rStyle w:val="11"/>
          <w:rFonts w:hint="eastAsia" w:ascii="宋体" w:hAnsi="宋体" w:eastAsia="宋体" w:cs="宋体"/>
          <w:b w:val="0"/>
          <w:bCs/>
          <w:color w:val="auto"/>
          <w:sz w:val="30"/>
          <w:szCs w:val="30"/>
          <w:lang w:eastAsia="zh-CN"/>
        </w:rPr>
        <w:t>”这一活动主题，</w:t>
      </w:r>
      <w:r>
        <w:rPr>
          <w:rFonts w:hint="eastAsia" w:ascii="宋体" w:hAnsi="宋体" w:eastAsia="宋体" w:cs="宋体"/>
          <w:b w:val="0"/>
          <w:bCs w:val="0"/>
          <w:color w:val="auto"/>
          <w:sz w:val="30"/>
          <w:szCs w:val="30"/>
          <w:lang w:val="en-US" w:eastAsia="zh-CN"/>
        </w:rPr>
        <w:t>从基础业务、阅读推广活动、基层服务、评估定级、安全生产等几方面入手，</w:t>
      </w:r>
      <w:r>
        <w:rPr>
          <w:rStyle w:val="11"/>
          <w:rFonts w:hint="eastAsia" w:ascii="宋体" w:hAnsi="宋体" w:eastAsia="宋体" w:cs="宋体"/>
          <w:b w:val="0"/>
          <w:bCs/>
          <w:color w:val="auto"/>
          <w:sz w:val="30"/>
          <w:szCs w:val="30"/>
          <w:lang w:eastAsia="zh-CN"/>
        </w:rPr>
        <w:t>努力</w:t>
      </w:r>
      <w:r>
        <w:rPr>
          <w:rFonts w:hint="eastAsia" w:ascii="宋体" w:hAnsi="宋体" w:eastAsia="宋体" w:cs="宋体"/>
          <w:color w:val="auto"/>
          <w:sz w:val="30"/>
          <w:szCs w:val="30"/>
        </w:rPr>
        <w:t>为人民群众提供更高质量的阅读服务</w:t>
      </w:r>
      <w:r>
        <w:rPr>
          <w:rFonts w:hint="eastAsia" w:ascii="宋体" w:hAnsi="宋体" w:eastAsia="宋体" w:cs="宋体"/>
          <w:color w:val="auto"/>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Style w:val="11"/>
          <w:rFonts w:hint="eastAsia" w:ascii="宋体" w:hAnsi="宋体" w:eastAsia="宋体" w:cs="宋体"/>
          <w:b w:val="0"/>
          <w:bCs/>
          <w:color w:val="auto"/>
          <w:sz w:val="30"/>
          <w:szCs w:val="30"/>
          <w:lang w:val="en-US" w:eastAsia="zh-CN"/>
        </w:rPr>
        <w:t>2022年1月图书馆</w:t>
      </w:r>
      <w:r>
        <w:rPr>
          <w:rStyle w:val="11"/>
          <w:rFonts w:hint="eastAsia" w:ascii="宋体" w:hAnsi="宋体" w:eastAsia="宋体" w:cs="宋体"/>
          <w:b w:val="0"/>
          <w:bCs/>
          <w:color w:val="auto"/>
          <w:sz w:val="30"/>
          <w:szCs w:val="30"/>
          <w:lang w:eastAsia="zh-CN"/>
        </w:rPr>
        <w:t>经过提升改造后，</w:t>
      </w:r>
      <w:r>
        <w:rPr>
          <w:rFonts w:hint="eastAsia" w:ascii="宋体" w:hAnsi="宋体" w:eastAsia="宋体" w:cs="宋体"/>
          <w:b w:val="0"/>
          <w:bCs w:val="0"/>
          <w:color w:val="auto"/>
          <w:sz w:val="30"/>
          <w:szCs w:val="30"/>
          <w:lang w:val="en-US" w:eastAsia="zh-CN"/>
        </w:rPr>
        <w:t>以全新的姿态面向广大市民开启了阅读的方便之门：延长开放时间，实现了</w:t>
      </w:r>
      <w:r>
        <w:rPr>
          <w:rFonts w:hint="eastAsia" w:ascii="宋体" w:hAnsi="宋体" w:eastAsia="宋体" w:cs="宋体"/>
          <w:color w:val="auto"/>
          <w:sz w:val="30"/>
          <w:szCs w:val="30"/>
          <w:lang w:val="en-US" w:eastAsia="zh-CN"/>
        </w:rPr>
        <w:t>错峰错时开放；</w:t>
      </w:r>
      <w:r>
        <w:rPr>
          <w:rFonts w:hint="eastAsia" w:ascii="宋体" w:hAnsi="宋体" w:eastAsia="宋体" w:cs="宋体"/>
          <w:b w:val="0"/>
          <w:bCs w:val="0"/>
          <w:color w:val="auto"/>
          <w:sz w:val="30"/>
          <w:szCs w:val="30"/>
          <w:lang w:val="en-US" w:eastAsia="zh-CN"/>
        </w:rPr>
        <w:t>调整办证借阅制度，取消办证地域限制，</w:t>
      </w:r>
      <w:r>
        <w:rPr>
          <w:rFonts w:hint="eastAsia" w:ascii="宋体" w:hAnsi="宋体" w:eastAsia="宋体" w:cs="宋体"/>
          <w:color w:val="auto"/>
          <w:sz w:val="30"/>
          <w:szCs w:val="30"/>
          <w:lang w:eastAsia="zh-CN"/>
        </w:rPr>
        <w:t>延长借阅期限，实现了住在阜康阅在阜康，</w:t>
      </w:r>
      <w:r>
        <w:rPr>
          <w:rFonts w:hint="eastAsia" w:ascii="宋体" w:hAnsi="宋体" w:eastAsia="宋体" w:cs="宋体"/>
          <w:color w:val="auto"/>
          <w:sz w:val="30"/>
          <w:szCs w:val="30"/>
          <w:lang w:val="en-US" w:eastAsia="zh-CN"/>
        </w:rPr>
        <w:t>减少读者往返次数</w:t>
      </w: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取消超期滞纳金，</w:t>
      </w:r>
      <w:r>
        <w:rPr>
          <w:rFonts w:hint="eastAsia" w:ascii="宋体" w:hAnsi="宋体" w:eastAsia="宋体" w:cs="宋体"/>
          <w:b w:val="0"/>
          <w:bCs w:val="0"/>
          <w:color w:val="auto"/>
          <w:sz w:val="30"/>
          <w:szCs w:val="30"/>
          <w:lang w:val="en-US" w:eastAsia="zh-CN"/>
        </w:rPr>
        <w:t>实行</w:t>
      </w:r>
      <w:r>
        <w:rPr>
          <w:rFonts w:hint="eastAsia" w:ascii="宋体" w:hAnsi="宋体" w:eastAsia="宋体" w:cs="宋体"/>
          <w:color w:val="auto"/>
          <w:sz w:val="30"/>
          <w:szCs w:val="30"/>
          <w:lang w:eastAsia="zh-CN"/>
        </w:rPr>
        <w:t>积分</w:t>
      </w:r>
      <w:r>
        <w:rPr>
          <w:rFonts w:hint="eastAsia" w:ascii="宋体" w:hAnsi="宋体" w:eastAsia="宋体" w:cs="宋体"/>
          <w:color w:val="auto"/>
          <w:sz w:val="30"/>
          <w:szCs w:val="30"/>
          <w:lang w:val="en-US" w:eastAsia="zh-CN"/>
        </w:rPr>
        <w:t>+公益服务</w:t>
      </w:r>
      <w:r>
        <w:rPr>
          <w:rFonts w:hint="eastAsia" w:ascii="宋体" w:hAnsi="宋体" w:eastAsia="宋体" w:cs="宋体"/>
          <w:b w:val="0"/>
          <w:bCs w:val="0"/>
          <w:color w:val="auto"/>
          <w:sz w:val="30"/>
          <w:szCs w:val="30"/>
          <w:lang w:val="en-US" w:eastAsia="zh-CN"/>
        </w:rPr>
        <w:t>制度</w:t>
      </w: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推进电子社保卡一卡通服务，减少读者手中卡，提高社保卡利用率。通过一系列的便民服务措施，吸引了更多的群众走进图书馆，据统计，1-10月本馆到馆读者</w:t>
      </w:r>
      <w:r>
        <w:rPr>
          <w:rFonts w:hint="eastAsia" w:ascii="宋体" w:hAnsi="宋体" w:eastAsia="宋体" w:cs="宋体"/>
          <w:color w:val="auto"/>
          <w:sz w:val="30"/>
          <w:szCs w:val="30"/>
          <w:highlight w:val="none"/>
          <w:lang w:val="en-US" w:eastAsia="zh-CN"/>
        </w:rPr>
        <w:t>6.7</w:t>
      </w:r>
      <w:r>
        <w:rPr>
          <w:rFonts w:hint="eastAsia" w:ascii="宋体" w:hAnsi="宋体" w:eastAsia="宋体" w:cs="宋体"/>
          <w:color w:val="auto"/>
          <w:sz w:val="30"/>
          <w:szCs w:val="30"/>
          <w:lang w:val="en-US" w:eastAsia="zh-CN"/>
        </w:rPr>
        <w:t>万多人次，日均到馆520人次左右，节假日日到馆最高达到900人次左右，本馆借还书刊达到了9.3万余册次，与2019年相比，各项指标提升2倍以上，图书馆阵地服务作用确实得到了有效发挥。</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中央补助地方“三馆一站”免费开放补助资金项目预算安排总额为</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金20</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w:t>
      </w:r>
      <w:r>
        <w:rPr>
          <w:rFonts w:hint="eastAsia" w:ascii="宋体" w:hAnsi="宋体" w:eastAsia="宋体" w:cs="宋体"/>
          <w:color w:val="auto"/>
          <w:highlight w:val="none"/>
          <w:shd w:val="clear" w:color="auto" w:fill="auto"/>
          <w:lang w:val="en-US" w:eastAsia="zh-CN"/>
        </w:rPr>
        <w:t>中央补助地方“三馆一站”免费开放补助资金</w:t>
      </w:r>
      <w:r>
        <w:rPr>
          <w:rFonts w:hint="eastAsia" w:ascii="宋体" w:hAnsi="宋体" w:eastAsia="宋体" w:cs="宋体"/>
          <w:color w:val="auto"/>
          <w:highlight w:val="none"/>
          <w:shd w:val="clear" w:color="auto" w:fill="auto"/>
        </w:rPr>
        <w:t>项目实际支付资金</w:t>
      </w:r>
      <w:r>
        <w:rPr>
          <w:rFonts w:hint="eastAsia" w:cs="宋体"/>
          <w:color w:val="auto"/>
          <w:highlight w:val="none"/>
          <w:shd w:val="clear" w:color="auto" w:fill="auto"/>
          <w:lang w:val="en-US" w:eastAsia="zh-CN"/>
        </w:rPr>
        <w:t>17.02</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85.1</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2.98</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eastAsia="zh-CN"/>
        </w:rPr>
        <w:t>图书馆正常运转及</w:t>
      </w:r>
      <w:r>
        <w:rPr>
          <w:rFonts w:hint="eastAsia" w:ascii="宋体" w:hAnsi="宋体" w:eastAsia="宋体" w:cs="宋体"/>
          <w:color w:val="auto"/>
          <w:highlight w:val="none"/>
          <w:shd w:val="clear" w:color="auto" w:fill="auto"/>
          <w:lang w:val="en-US" w:eastAsia="zh-CN"/>
        </w:rPr>
        <w:t>免费开放各类图书活动支出</w:t>
      </w:r>
      <w:r>
        <w:rPr>
          <w:rFonts w:hint="eastAsia" w:cs="宋体"/>
          <w:color w:val="auto"/>
          <w:highlight w:val="none"/>
          <w:shd w:val="clear" w:color="auto" w:fill="auto"/>
          <w:lang w:val="en-US" w:eastAsia="zh-CN"/>
        </w:rPr>
        <w:t>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中央补助地方“三馆一站”免费开放补助资金</w:t>
      </w:r>
      <w:r>
        <w:rPr>
          <w:rFonts w:hint="eastAsia" w:cs="宋体"/>
          <w:color w:val="auto"/>
          <w:highlight w:val="none"/>
          <w:shd w:val="clear" w:color="auto" w:fill="auto"/>
          <w:lang w:val="en-US" w:eastAsia="zh-CN"/>
        </w:rPr>
        <w:t>项目绩效总体目标为：阜康市图书馆以公共图书馆免费开放为契机，同过不断加大财政投入，不断拓展公共服务文化领域。建立长久城乡居民享受到更加丰富多彩的公共服务。2022年预计完成全年接待读者数量5万人，年内完成各类图书活动20场次，免费开放绩效考评率95%，社会教育厅服务水平预计达到95%，预计2022年12月31日前完成各类读书活动以及举办免费开放展览、培训、讲座，预计免费开放各类图书活动支出20万元，阜康市图书馆2022年将继续完善和发展公益项目，为广大读者开拓服务形式，同时加强文化资源建设，增强文献信息。</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①数量指标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全年接待读者数量</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指标，预期指标值为≥5万人；</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“年内完成各类读书活动”指标，预期指标值为≥20场；</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②质量指标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免费开放绩效考评率</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指标，预期指标值为≥95%；</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社会教育服务水平</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指标，预期指标值为≥95%；</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③时效指标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年内各类读书活动完成时间</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指标，预期指标值为2022/12/31；</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年内各类读书活动完成时间及时率</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指标，预期指标值为=100%；</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举办免费开放展览、培训、讲座完成时间</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指标，预期指标值为2022/12/31；</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“举办免费开放展览、培训、讲座完成时间及时率”指标，预期指标值为=100%；</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④成本指标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免费开放各类图书活动支出</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指标，预期指标值为≤20万元；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2</w:t>
      </w:r>
      <w:r>
        <w:rPr>
          <w:rFonts w:hint="eastAsia" w:ascii="宋体" w:hAnsi="宋体" w:eastAsia="宋体" w:cs="宋体"/>
          <w:bCs/>
          <w:color w:val="auto"/>
          <w:highlight w:val="none"/>
          <w:shd w:val="clear" w:color="auto" w:fill="auto"/>
          <w:lang w:eastAsia="zh-CN"/>
        </w:rPr>
        <w:t>）项目效益</w:t>
      </w:r>
      <w:r>
        <w:rPr>
          <w:rFonts w:hint="eastAsia" w:ascii="宋体" w:hAnsi="宋体" w:eastAsia="宋体" w:cs="宋体"/>
          <w:bCs/>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继续完善和发展公益项目，为广大读者开拓服务形式，同时加强文化资源建设，增强文献信息</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指标，预期指标值为有效提升；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③生态效益指标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对全民阅读便利性产生持续作用</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指标，预期指标值为长期；</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val="en-US" w:eastAsia="zh-CN"/>
        </w:rPr>
        <w:t>⑤满意度指标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val="en-US" w:eastAsia="zh-CN"/>
        </w:rPr>
      </w:pP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读者满意度</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指标，预期指标值为≥95%。</w:t>
      </w:r>
    </w:p>
    <w:p>
      <w:pPr>
        <w:pStyle w:val="3"/>
        <w:bidi w:val="0"/>
        <w:rPr>
          <w:rFonts w:hint="eastAsia" w:ascii="宋体" w:hAnsi="宋体" w:eastAsia="宋体" w:cs="宋体"/>
          <w:b/>
          <w:bCs/>
          <w:color w:val="auto"/>
          <w:lang w:val="en-US" w:eastAsia="zh-CN"/>
        </w:rPr>
      </w:pPr>
      <w:r>
        <w:rPr>
          <w:rFonts w:hint="eastAsia" w:ascii="宋体" w:hAnsi="宋体" w:eastAsia="宋体" w:cs="宋体"/>
          <w:b/>
          <w:bCs/>
          <w:color w:val="auto"/>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21664"/>
      <w:bookmarkStart w:id="1" w:name="_Toc5258"/>
      <w:bookmarkStart w:id="2" w:name="_Toc22169_WPSOffice_Level2"/>
      <w:bookmarkStart w:id="3" w:name="_Toc12868"/>
      <w:bookmarkStart w:id="4" w:name="_Toc5462343"/>
      <w:bookmarkStart w:id="5" w:name="_Toc26632"/>
      <w:bookmarkStart w:id="6" w:name="_Toc480473081"/>
      <w:bookmarkStart w:id="7" w:name="_Toc22922"/>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年度我单位实施的中央补助地方“三馆一站”免费开放补助资金项目开展部门绩效评价。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ascii="宋体" w:hAnsi="宋体" w:eastAsia="宋体" w:cs="宋体"/>
          <w:color w:val="auto"/>
          <w:highlight w:val="none"/>
          <w:shd w:val="clear" w:color="auto" w:fill="auto"/>
          <w:lang w:val="en-US" w:eastAsia="zh-CN"/>
        </w:rPr>
        <w:t>中央补助地方“三馆一站”免费开放补助资金</w:t>
      </w:r>
      <w:r>
        <w:rPr>
          <w:rFonts w:hint="eastAsia" w:ascii="宋体" w:hAnsi="宋体" w:eastAsia="宋体" w:cs="宋体"/>
          <w:color w:val="auto"/>
          <w:highlight w:val="none"/>
          <w:shd w:val="clear" w:color="auto" w:fill="auto"/>
          <w:lang w:eastAsia="zh-CN"/>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1913"/>
      <w:bookmarkStart w:id="9" w:name="_Toc26131"/>
      <w:bookmarkStart w:id="10" w:name="_Toc428278230"/>
      <w:bookmarkStart w:id="11" w:name="_Toc419984722"/>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lang w:val="en-US" w:eastAsia="zh-CN"/>
        </w:rPr>
      </w:pPr>
      <w:r>
        <w:rPr>
          <w:rFonts w:hint="eastAsia"/>
          <w:b/>
          <w:bCs/>
          <w:color w:val="auto"/>
          <w:sz w:val="28"/>
          <w:szCs w:val="28"/>
          <w:lang w:val="zh-TW" w:eastAsia="zh-TW"/>
        </w:rPr>
        <w:t>项目绩效评价指标体系</w:t>
      </w:r>
    </w:p>
    <w:tbl>
      <w:tblPr>
        <w:tblStyle w:val="9"/>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对项目绩效目标预期指标值与实施情况进行比较，以及采取公众问卷及抽样调查等方式进行评判的方法对中央补助地方“三馆一站”免费开放补助资金项目进行评价。</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通过调研对中央补助地方“三馆一站”免费开放补助资金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b w:val="0"/>
          <w:bCs w:val="0"/>
          <w:color w:val="auto"/>
          <w:sz w:val="28"/>
          <w:szCs w:val="28"/>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中央补助地方“三馆一站”免费开放补助资金</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98.65</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9"/>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olor w:val="auto"/>
                <w:highlight w:val="none"/>
              </w:rPr>
            </w:pPr>
            <w:r>
              <w:rPr>
                <w:rFonts w:hint="eastAsia"/>
                <w:color w:val="auto"/>
                <w:highlight w:val="none"/>
                <w:lang w:val="en-US" w:eastAsia="zh-CN"/>
              </w:rPr>
              <w:t>表3-1：中央补助地方“三馆一站”免费开放补助资金项目得分表</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19.4</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29.25</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98.65</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97.5</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98.65</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9"/>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1.立项依据充分性</w:t>
      </w:r>
    </w:p>
    <w:p>
      <w:pPr>
        <w:bidi w:val="0"/>
        <w:rPr>
          <w:rFonts w:hint="eastAsia"/>
          <w:color w:val="auto"/>
          <w:lang w:eastAsia="zh-CN"/>
        </w:rPr>
      </w:pPr>
      <w:r>
        <w:rPr>
          <w:rFonts w:hint="eastAsia"/>
          <w:color w:val="auto"/>
          <w:lang w:eastAsia="zh-CN"/>
        </w:rPr>
        <w:t>①项目立项符合国家法律法规、国民经济发展规划和相关政策；</w:t>
      </w:r>
    </w:p>
    <w:p>
      <w:pPr>
        <w:bidi w:val="0"/>
        <w:rPr>
          <w:rFonts w:hint="eastAsia"/>
          <w:color w:val="auto"/>
          <w:lang w:eastAsia="zh-CN"/>
        </w:rPr>
      </w:pPr>
      <w:r>
        <w:rPr>
          <w:rFonts w:hint="eastAsia"/>
          <w:color w:val="auto"/>
          <w:lang w:eastAsia="zh-CN"/>
        </w:rPr>
        <w:t>②项目立项符合行业发展规划和政策要求；</w:t>
      </w:r>
    </w:p>
    <w:p>
      <w:pPr>
        <w:bidi w:val="0"/>
        <w:rPr>
          <w:rFonts w:hint="eastAsia"/>
          <w:color w:val="auto"/>
          <w:lang w:eastAsia="zh-CN"/>
        </w:rPr>
      </w:pPr>
      <w:r>
        <w:rPr>
          <w:rFonts w:hint="eastAsia"/>
          <w:color w:val="auto"/>
          <w:lang w:eastAsia="zh-CN"/>
        </w:rPr>
        <w:t>③项目立项与部门职责范围相符，属于部门履职所需；</w:t>
      </w:r>
    </w:p>
    <w:p>
      <w:pPr>
        <w:bidi w:val="0"/>
        <w:rPr>
          <w:rFonts w:hint="eastAsia"/>
          <w:color w:val="auto"/>
          <w:lang w:eastAsia="zh-CN"/>
        </w:rPr>
      </w:pPr>
      <w:r>
        <w:rPr>
          <w:rFonts w:hint="eastAsia"/>
          <w:color w:val="auto"/>
          <w:lang w:eastAsia="zh-CN"/>
        </w:rPr>
        <w:t>④项目属于公共财政支持范围，符合中央、地方事权支出责任划分原则；</w:t>
      </w:r>
    </w:p>
    <w:p>
      <w:pPr>
        <w:bidi w:val="0"/>
        <w:rPr>
          <w:rFonts w:hint="eastAsia"/>
          <w:color w:val="auto"/>
          <w:lang w:eastAsia="zh-CN"/>
        </w:rPr>
      </w:pPr>
      <w:r>
        <w:rPr>
          <w:rFonts w:hint="eastAsia"/>
          <w:color w:val="auto"/>
          <w:lang w:eastAsia="zh-CN"/>
        </w:rPr>
        <w:t>⑤项目与相关部门同类项目或部门内部相关项目</w:t>
      </w:r>
      <w:r>
        <w:rPr>
          <w:rFonts w:hint="eastAsia"/>
          <w:color w:val="auto"/>
          <w:lang w:val="en-US" w:eastAsia="zh-CN"/>
        </w:rPr>
        <w:t>不</w:t>
      </w:r>
      <w:r>
        <w:rPr>
          <w:rFonts w:hint="eastAsia"/>
          <w:color w:val="auto"/>
          <w:lang w:eastAsia="zh-CN"/>
        </w:rPr>
        <w:t>重复。</w:t>
      </w:r>
    </w:p>
    <w:p>
      <w:pPr>
        <w:bidi w:val="0"/>
        <w:rPr>
          <w:rFonts w:hint="default"/>
          <w:color w:val="auto"/>
          <w:lang w:val="en-US"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①项目按照规定的程序申请设立；</w:t>
      </w:r>
    </w:p>
    <w:p>
      <w:pPr>
        <w:bidi w:val="0"/>
        <w:rPr>
          <w:rFonts w:hint="eastAsia"/>
          <w:color w:val="auto"/>
          <w:lang w:eastAsia="zh-CN"/>
        </w:rPr>
      </w:pPr>
      <w:r>
        <w:rPr>
          <w:rFonts w:hint="eastAsia"/>
          <w:color w:val="auto"/>
          <w:lang w:eastAsia="zh-CN"/>
        </w:rPr>
        <w:t>②审批文件、材料符合相关要求；</w:t>
      </w:r>
    </w:p>
    <w:p>
      <w:pPr>
        <w:bidi w:val="0"/>
        <w:rPr>
          <w:rFonts w:hint="eastAsia"/>
          <w:color w:val="auto"/>
          <w:highlight w:val="none"/>
          <w:lang w:eastAsia="zh-CN"/>
        </w:rPr>
      </w:pPr>
      <w:r>
        <w:rPr>
          <w:rFonts w:hint="eastAsia"/>
          <w:color w:val="auto"/>
          <w:highlight w:val="none"/>
          <w:lang w:eastAsia="zh-CN"/>
        </w:rPr>
        <w:t>③事前经过可行性研究、专家论证、风险评估、绩效评估、集体决策。</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color w:val="auto"/>
          <w:lang w:val="en-US" w:eastAsia="zh-CN"/>
        </w:rPr>
      </w:pPr>
      <w:r>
        <w:rPr>
          <w:rFonts w:hint="eastAsia"/>
          <w:b/>
          <w:bCs/>
          <w:color w:val="auto"/>
          <w:lang w:val="en-US" w:eastAsia="zh-CN"/>
        </w:rPr>
        <w:t>3.绩效目标合理性</w:t>
      </w:r>
    </w:p>
    <w:p>
      <w:pPr>
        <w:bidi w:val="0"/>
        <w:rPr>
          <w:rFonts w:hint="eastAsia"/>
          <w:color w:val="auto"/>
          <w:lang w:eastAsia="zh-CN"/>
        </w:rPr>
      </w:pPr>
      <w:r>
        <w:rPr>
          <w:rFonts w:hint="eastAsia"/>
          <w:color w:val="auto"/>
          <w:lang w:eastAsia="zh-CN"/>
        </w:rPr>
        <w:t>①项目有绩效目标；</w:t>
      </w:r>
    </w:p>
    <w:p>
      <w:pPr>
        <w:bidi w:val="0"/>
        <w:rPr>
          <w:rFonts w:hint="eastAsia"/>
          <w:color w:val="auto"/>
          <w:lang w:eastAsia="zh-CN"/>
        </w:rPr>
      </w:pPr>
      <w:r>
        <w:rPr>
          <w:rFonts w:hint="eastAsia"/>
          <w:color w:val="auto"/>
          <w:lang w:eastAsia="zh-CN"/>
        </w:rPr>
        <w:t>②项目绩效目标与实际工作内容具有相关性；</w:t>
      </w:r>
    </w:p>
    <w:p>
      <w:pPr>
        <w:bidi w:val="0"/>
        <w:rPr>
          <w:rFonts w:hint="eastAsia"/>
          <w:color w:val="auto"/>
          <w:lang w:eastAsia="zh-CN"/>
        </w:rPr>
      </w:pPr>
      <w:r>
        <w:rPr>
          <w:rFonts w:hint="eastAsia"/>
          <w:color w:val="auto"/>
          <w:lang w:eastAsia="zh-CN"/>
        </w:rPr>
        <w:t>③项目预期产出效益和效果符合正常的业绩水平；</w:t>
      </w:r>
    </w:p>
    <w:p>
      <w:pPr>
        <w:bidi w:val="0"/>
        <w:rPr>
          <w:rFonts w:hint="eastAsia"/>
          <w:color w:val="auto"/>
          <w:lang w:eastAsia="zh-CN"/>
        </w:rPr>
      </w:pPr>
      <w:r>
        <w:rPr>
          <w:rFonts w:hint="eastAsia"/>
          <w:color w:val="auto"/>
          <w:lang w:eastAsia="zh-CN"/>
        </w:rPr>
        <w:t>④与预算确定的项目投资额或资金量相匹配。</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①将项目绩效目标细化分解为具体的绩效指标；</w:t>
      </w:r>
    </w:p>
    <w:p>
      <w:pPr>
        <w:bidi w:val="0"/>
        <w:rPr>
          <w:rFonts w:hint="eastAsia"/>
          <w:color w:val="auto"/>
          <w:lang w:eastAsia="zh-CN"/>
        </w:rPr>
      </w:pPr>
      <w:r>
        <w:rPr>
          <w:rFonts w:hint="eastAsia"/>
          <w:color w:val="auto"/>
          <w:lang w:eastAsia="zh-CN"/>
        </w:rPr>
        <w:t>②通过清晰、可衡量的指标值予以体现；</w:t>
      </w:r>
    </w:p>
    <w:p>
      <w:pPr>
        <w:bidi w:val="0"/>
        <w:rPr>
          <w:rFonts w:hint="eastAsia"/>
          <w:color w:val="auto"/>
          <w:lang w:eastAsia="zh-CN"/>
        </w:rPr>
      </w:pPr>
      <w:r>
        <w:rPr>
          <w:rFonts w:hint="eastAsia"/>
          <w:color w:val="auto"/>
          <w:lang w:eastAsia="zh-CN"/>
        </w:rPr>
        <w:t>③与项目目标任务数或计划数相对应。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color w:val="auto"/>
          <w:lang w:eastAsia="zh-CN"/>
        </w:rPr>
        <w:t>①预算编制经过科学论证；</w:t>
      </w:r>
    </w:p>
    <w:p>
      <w:pPr>
        <w:bidi w:val="0"/>
        <w:rPr>
          <w:rFonts w:hint="eastAsia"/>
          <w:color w:val="auto"/>
          <w:lang w:eastAsia="zh-CN"/>
        </w:rPr>
      </w:pPr>
      <w:r>
        <w:rPr>
          <w:rFonts w:hint="eastAsia"/>
          <w:color w:val="auto"/>
          <w:lang w:eastAsia="zh-CN"/>
        </w:rPr>
        <w:t>②预算内容与项目内容匹配；</w:t>
      </w:r>
    </w:p>
    <w:p>
      <w:pPr>
        <w:bidi w:val="0"/>
        <w:rPr>
          <w:rFonts w:hint="eastAsia"/>
          <w:color w:val="auto"/>
          <w:lang w:eastAsia="zh-CN"/>
        </w:rPr>
      </w:pPr>
      <w:r>
        <w:rPr>
          <w:rFonts w:hint="eastAsia"/>
          <w:color w:val="auto"/>
          <w:lang w:eastAsia="zh-CN"/>
        </w:rPr>
        <w:t>③预算额度测算依据充分，按照标准编制；</w:t>
      </w:r>
    </w:p>
    <w:p>
      <w:pPr>
        <w:bidi w:val="0"/>
        <w:rPr>
          <w:rFonts w:hint="eastAsia"/>
          <w:color w:val="auto"/>
          <w:lang w:eastAsia="zh-CN"/>
        </w:rPr>
      </w:pPr>
      <w:r>
        <w:rPr>
          <w:rFonts w:hint="eastAsia"/>
          <w:color w:val="auto"/>
          <w:lang w:eastAsia="zh-CN"/>
        </w:rPr>
        <w:t>④预算确定的项目投资额或资金量与工作任务相匹配。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①预算资金分配依据充分；</w:t>
      </w:r>
    </w:p>
    <w:p>
      <w:pPr>
        <w:bidi w:val="0"/>
        <w:rPr>
          <w:rFonts w:hint="eastAsia"/>
          <w:color w:val="auto"/>
          <w:lang w:eastAsia="zh-CN"/>
        </w:rPr>
      </w:pPr>
      <w:r>
        <w:rPr>
          <w:rFonts w:hint="eastAsia"/>
          <w:color w:val="auto"/>
          <w:lang w:eastAsia="zh-CN"/>
        </w:rPr>
        <w:t>②资金分配额度合理，与项目单位或地方实际相适应。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19.4</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19.4</w:t>
            </w:r>
          </w:p>
        </w:tc>
      </w:tr>
    </w:tbl>
    <w:p>
      <w:pPr>
        <w:bidi w:val="0"/>
        <w:rPr>
          <w:rFonts w:hint="default"/>
          <w:b/>
          <w:bCs/>
          <w:color w:val="auto"/>
          <w:lang w:val="en-US" w:eastAsia="zh-CN"/>
        </w:rPr>
      </w:pPr>
      <w:r>
        <w:rPr>
          <w:rFonts w:hint="eastAsia"/>
          <w:b/>
          <w:bCs/>
          <w:color w:val="auto"/>
          <w:lang w:val="en-US" w:eastAsia="zh-CN"/>
        </w:rPr>
        <w:t>1.资金到位率</w:t>
      </w:r>
    </w:p>
    <w:p>
      <w:pPr>
        <w:bidi w:val="0"/>
        <w:rPr>
          <w:rFonts w:hint="default"/>
          <w:b/>
          <w:bCs/>
          <w:color w:val="auto"/>
          <w:lang w:val="en-US" w:eastAsia="zh-CN"/>
        </w:rPr>
      </w:pPr>
      <w:r>
        <w:rPr>
          <w:rFonts w:hint="eastAsia"/>
          <w:color w:val="auto"/>
          <w:lang w:eastAsia="zh-CN"/>
        </w:rPr>
        <w:t>资金到位率</w:t>
      </w:r>
      <w:r>
        <w:rPr>
          <w:rFonts w:hint="eastAsia"/>
          <w:b/>
          <w:bCs/>
          <w:color w:val="auto"/>
          <w:lang w:val="en-US" w:eastAsia="zh-CN"/>
        </w:rPr>
        <w:t>=（200000/200000）*100%=100%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2.预算执行率</w:t>
      </w:r>
    </w:p>
    <w:p>
      <w:pPr>
        <w:bidi w:val="0"/>
        <w:rPr>
          <w:rFonts w:hint="default"/>
          <w:color w:val="auto"/>
          <w:lang w:val="en-US" w:eastAsia="zh-CN"/>
        </w:rPr>
      </w:pPr>
      <w:r>
        <w:rPr>
          <w:rFonts w:hint="eastAsia"/>
          <w:color w:val="auto"/>
          <w:lang w:eastAsia="zh-CN"/>
        </w:rPr>
        <w:t>预算执行率</w:t>
      </w:r>
      <w:r>
        <w:rPr>
          <w:rFonts w:hint="eastAsia"/>
          <w:b/>
          <w:bCs/>
          <w:color w:val="auto"/>
          <w:lang w:val="en-US" w:eastAsia="zh-CN"/>
        </w:rPr>
        <w:t>=（170192.75/200000）*100%=85.10%</w:t>
      </w:r>
    </w:p>
    <w:p>
      <w:pPr>
        <w:bidi w:val="0"/>
        <w:rPr>
          <w:rFonts w:hint="eastAsia"/>
          <w:color w:val="auto"/>
          <w:lang w:eastAsia="zh-CN"/>
        </w:rPr>
      </w:pPr>
      <w:r>
        <w:rPr>
          <w:rFonts w:hint="eastAsia"/>
          <w:b/>
          <w:bCs/>
          <w:color w:val="auto"/>
          <w:lang w:val="en-US" w:eastAsia="zh-CN"/>
        </w:rPr>
        <w:t>综上，该项指标满分4分，得分3.4分。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eastAsia"/>
          <w:color w:val="auto"/>
          <w:lang w:eastAsia="zh-CN"/>
        </w:rPr>
      </w:pPr>
      <w:r>
        <w:rPr>
          <w:rFonts w:hint="eastAsia"/>
          <w:color w:val="auto"/>
          <w:lang w:eastAsia="zh-CN"/>
        </w:rPr>
        <w:t>①符合国家财经法规和财务管理制度以及有关专项资金管理办法的规定；</w:t>
      </w:r>
    </w:p>
    <w:p>
      <w:pPr>
        <w:bidi w:val="0"/>
        <w:rPr>
          <w:rFonts w:hint="eastAsia"/>
          <w:color w:val="auto"/>
          <w:lang w:eastAsia="zh-CN"/>
        </w:rPr>
      </w:pPr>
      <w:r>
        <w:rPr>
          <w:rFonts w:hint="eastAsia"/>
          <w:color w:val="auto"/>
          <w:lang w:eastAsia="zh-CN"/>
        </w:rPr>
        <w:t>②资金的拨付有完整的审批程序和手续；</w:t>
      </w:r>
    </w:p>
    <w:p>
      <w:pPr>
        <w:bidi w:val="0"/>
        <w:rPr>
          <w:rFonts w:hint="eastAsia"/>
          <w:color w:val="auto"/>
          <w:lang w:eastAsia="zh-CN"/>
        </w:rPr>
      </w:pPr>
      <w:r>
        <w:rPr>
          <w:rFonts w:hint="eastAsia"/>
          <w:color w:val="auto"/>
          <w:lang w:eastAsia="zh-CN"/>
        </w:rPr>
        <w:t>③符合项目预算批复或合同规定的用途；</w:t>
      </w:r>
    </w:p>
    <w:p>
      <w:pPr>
        <w:bidi w:val="0"/>
        <w:rPr>
          <w:rFonts w:hint="eastAsia"/>
          <w:color w:val="auto"/>
          <w:lang w:eastAsia="zh-CN"/>
        </w:rPr>
      </w:pPr>
      <w:r>
        <w:rPr>
          <w:rFonts w:hint="eastAsia"/>
          <w:color w:val="auto"/>
          <w:lang w:eastAsia="zh-CN"/>
        </w:rPr>
        <w:t>④</w:t>
      </w:r>
      <w:r>
        <w:rPr>
          <w:rFonts w:hint="eastAsia"/>
          <w:color w:val="auto"/>
          <w:lang w:val="en-US" w:eastAsia="zh-CN"/>
        </w:rPr>
        <w:t>不</w:t>
      </w:r>
      <w:r>
        <w:rPr>
          <w:rFonts w:hint="eastAsia"/>
          <w:color w:val="auto"/>
          <w:lang w:eastAsia="zh-CN"/>
        </w:rPr>
        <w:t>存在截留、挤占、挪用、虚列支出等情况。</w:t>
      </w:r>
    </w:p>
    <w:p>
      <w:pPr>
        <w:bidi w:val="0"/>
        <w:rPr>
          <w:rFonts w:hint="eastAsia"/>
          <w:color w:val="auto"/>
          <w:lang w:eastAsia="zh-CN"/>
        </w:rPr>
      </w:pPr>
      <w:r>
        <w:rPr>
          <w:rFonts w:hint="eastAsia"/>
          <w:b/>
          <w:bCs/>
          <w:color w:val="auto"/>
          <w:lang w:val="en-US" w:eastAsia="zh-CN"/>
        </w:rPr>
        <w:t>综上，该项指标满分4分，得分4分。</w:t>
      </w:r>
    </w:p>
    <w:p>
      <w:pPr>
        <w:numPr>
          <w:ilvl w:val="0"/>
          <w:numId w:val="4"/>
        </w:numPr>
        <w:bidi w:val="0"/>
        <w:rPr>
          <w:rFonts w:hint="eastAsia"/>
          <w:b/>
          <w:bCs/>
          <w:color w:val="auto"/>
          <w:lang w:val="en-US" w:eastAsia="zh-CN"/>
        </w:rPr>
      </w:pPr>
      <w:r>
        <w:rPr>
          <w:rFonts w:hint="eastAsia"/>
          <w:b/>
          <w:bCs/>
          <w:color w:val="auto"/>
          <w:lang w:val="en-US" w:eastAsia="zh-CN"/>
        </w:rPr>
        <w:t>管理制度健全性</w:t>
      </w:r>
    </w:p>
    <w:p>
      <w:pPr>
        <w:numPr>
          <w:ilvl w:val="0"/>
          <w:numId w:val="0"/>
        </w:numPr>
        <w:bidi w:val="0"/>
        <w:ind w:firstLine="560" w:firstLineChars="200"/>
        <w:rPr>
          <w:rFonts w:hint="eastAsia"/>
          <w:color w:val="auto"/>
          <w:lang w:eastAsia="zh-CN"/>
        </w:rPr>
      </w:pPr>
      <w:r>
        <w:rPr>
          <w:rFonts w:hint="eastAsia"/>
          <w:color w:val="auto"/>
          <w:lang w:eastAsia="zh-CN"/>
        </w:rPr>
        <w:t>①已制定或具有相应的</w:t>
      </w:r>
      <w:r>
        <w:rPr>
          <w:rFonts w:hint="eastAsia"/>
          <w:color w:val="auto"/>
          <w:highlight w:val="none"/>
          <w:lang w:eastAsia="zh-CN"/>
        </w:rPr>
        <w:t>财务和业务管理制度：</w:t>
      </w:r>
      <w:r>
        <w:rPr>
          <w:rFonts w:hint="eastAsia"/>
          <w:highlight w:val="none"/>
          <w:lang w:eastAsia="zh-CN"/>
        </w:rPr>
        <w:t>包括《合同管理制度》、《收入和支出管理制度》、《建设项目管理制度》等</w:t>
      </w:r>
      <w:r>
        <w:rPr>
          <w:rFonts w:hint="eastAsia"/>
          <w:color w:val="auto"/>
          <w:lang w:eastAsia="zh-CN"/>
        </w:rPr>
        <w:t>；</w:t>
      </w:r>
    </w:p>
    <w:p>
      <w:pPr>
        <w:bidi w:val="0"/>
        <w:rPr>
          <w:rFonts w:hint="eastAsia"/>
          <w:color w:val="auto"/>
          <w:lang w:eastAsia="zh-CN"/>
        </w:rPr>
      </w:pPr>
      <w:r>
        <w:rPr>
          <w:rFonts w:hint="eastAsia"/>
          <w:color w:val="auto"/>
          <w:lang w:eastAsia="zh-CN"/>
        </w:rPr>
        <w:t>②财务和业务管理制度合法、合规、完整。</w:t>
      </w:r>
    </w:p>
    <w:p>
      <w:pPr>
        <w:bidi w:val="0"/>
        <w:rPr>
          <w:rFonts w:hint="eastAsia"/>
          <w:color w:val="auto"/>
          <w:lang w:eastAsia="zh-CN"/>
        </w:rPr>
      </w:pPr>
      <w:r>
        <w:rPr>
          <w:rFonts w:hint="eastAsia"/>
          <w:b/>
          <w:bCs/>
          <w:color w:val="auto"/>
          <w:lang w:val="en-US" w:eastAsia="zh-CN"/>
        </w:rPr>
        <w:t>综上，该项指标满分4分，得分4分。</w:t>
      </w:r>
    </w:p>
    <w:p>
      <w:pPr>
        <w:bidi w:val="0"/>
        <w:ind w:left="1403" w:leftChars="200" w:hanging="843" w:hangingChars="300"/>
        <w:rPr>
          <w:rFonts w:hint="default"/>
          <w:b/>
          <w:bCs/>
          <w:color w:val="auto"/>
          <w:lang w:val="en-US" w:eastAsia="zh-CN"/>
        </w:rPr>
      </w:pPr>
      <w:r>
        <w:rPr>
          <w:rFonts w:hint="eastAsia"/>
          <w:b/>
          <w:bCs/>
          <w:color w:val="auto"/>
          <w:lang w:val="en-US" w:eastAsia="zh-CN"/>
        </w:rPr>
        <w:t>5.制度执行有效性</w:t>
      </w:r>
    </w:p>
    <w:p>
      <w:pPr>
        <w:bidi w:val="0"/>
        <w:rPr>
          <w:rFonts w:hint="eastAsia"/>
          <w:color w:val="auto"/>
          <w:lang w:eastAsia="zh-CN"/>
        </w:rPr>
      </w:pPr>
      <w:r>
        <w:rPr>
          <w:rFonts w:hint="eastAsia"/>
          <w:color w:val="auto"/>
          <w:lang w:eastAsia="zh-CN"/>
        </w:rPr>
        <w:t>①遵守相关法律法规和相关管理规定；</w:t>
      </w:r>
    </w:p>
    <w:p>
      <w:pPr>
        <w:bidi w:val="0"/>
        <w:rPr>
          <w:rFonts w:hint="eastAsia"/>
          <w:color w:val="auto"/>
          <w:lang w:eastAsia="zh-CN"/>
        </w:rPr>
      </w:pPr>
      <w:r>
        <w:rPr>
          <w:rFonts w:hint="eastAsia"/>
          <w:color w:val="auto"/>
          <w:lang w:eastAsia="zh-CN"/>
        </w:rPr>
        <w:t>②项目调整及支出调整手续完备；</w:t>
      </w:r>
    </w:p>
    <w:p>
      <w:pPr>
        <w:bidi w:val="0"/>
        <w:rPr>
          <w:rFonts w:hint="eastAsia"/>
          <w:color w:val="auto"/>
          <w:lang w:eastAsia="zh-CN"/>
        </w:rPr>
      </w:pPr>
      <w:r>
        <w:rPr>
          <w:rFonts w:hint="eastAsia"/>
          <w:color w:val="auto"/>
          <w:lang w:eastAsia="zh-CN"/>
        </w:rPr>
        <w:t>③项目合同书、验收报告、技术鉴定等资料齐全并及时归档；</w:t>
      </w:r>
    </w:p>
    <w:p>
      <w:pPr>
        <w:bidi w:val="0"/>
        <w:rPr>
          <w:rFonts w:hint="eastAsia"/>
          <w:color w:val="auto"/>
          <w:lang w:eastAsia="zh-CN"/>
        </w:rPr>
      </w:pPr>
      <w:r>
        <w:rPr>
          <w:rFonts w:hint="eastAsia"/>
          <w:color w:val="auto"/>
          <w:lang w:eastAsia="zh-CN"/>
        </w:rPr>
        <w:t>④项目实施的人员条件、场地设备、信息支撑等落实到位。</w:t>
      </w:r>
    </w:p>
    <w:p>
      <w:pPr>
        <w:bidi w:val="0"/>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9</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29.25</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全年接待读者数量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≥5万人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5万</w:t>
            </w:r>
            <w:r>
              <w:rPr>
                <w:rFonts w:hint="eastAsia" w:cs="宋体"/>
                <w:color w:val="auto"/>
                <w:kern w:val="0"/>
                <w:sz w:val="20"/>
                <w:szCs w:val="20"/>
                <w:highlight w:val="none"/>
                <w:shd w:val="clear" w:color="auto" w:fill="auto"/>
                <w:lang w:val="en-US" w:eastAsia="zh-CN" w:bidi="ar-SA"/>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年内完成各类读书活动</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20场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免费开放绩效考评率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社会教育服务水平</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年内各类读书活动完成时间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2022/12/31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年内各类读书活动完成时间及时率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举办免费开放展览、培训、讲座完成时间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2022/12/31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举办免费开放展览、培训、讲座完成时间及时率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免费开放各类图书活动支出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17.02万元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4.25</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29.25</w:t>
            </w:r>
          </w:p>
        </w:tc>
      </w:tr>
    </w:tbl>
    <w:p>
      <w:pPr>
        <w:numPr>
          <w:ilvl w:val="0"/>
          <w:numId w:val="5"/>
        </w:numPr>
        <w:bidi w:val="0"/>
        <w:rPr>
          <w:rFonts w:hint="eastAsia"/>
          <w:b/>
          <w:bCs/>
          <w:color w:val="auto"/>
          <w:lang w:val="en-US" w:eastAsia="zh-CN"/>
        </w:rPr>
      </w:pPr>
      <w:r>
        <w:rPr>
          <w:rFonts w:hint="eastAsia"/>
          <w:b/>
          <w:bCs/>
          <w:color w:val="auto"/>
          <w:lang w:val="en-US" w:eastAsia="zh-CN"/>
        </w:rPr>
        <w:t>项目完成数量</w:t>
      </w:r>
    </w:p>
    <w:p>
      <w:pPr>
        <w:numPr>
          <w:ilvl w:val="0"/>
          <w:numId w:val="0"/>
        </w:numPr>
        <w:bidi w:val="0"/>
        <w:ind w:firstLine="560" w:firstLineChars="200"/>
        <w:rPr>
          <w:rFonts w:hint="eastAsia"/>
          <w:color w:val="auto"/>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全年接待读者数量</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≥5万人</w:t>
      </w:r>
      <w:r>
        <w:rPr>
          <w:rFonts w:hint="eastAsia"/>
          <w:color w:val="auto"/>
          <w:sz w:val="28"/>
          <w:szCs w:val="28"/>
          <w:lang w:val="en-US" w:eastAsia="zh-CN"/>
        </w:rPr>
        <w:t>，实际完成为</w:t>
      </w:r>
      <w:r>
        <w:rPr>
          <w:rFonts w:hint="eastAsia" w:ascii="宋体" w:hAnsi="宋体" w:eastAsia="宋体" w:cs="宋体"/>
          <w:color w:val="auto"/>
          <w:kern w:val="0"/>
          <w:sz w:val="28"/>
          <w:szCs w:val="28"/>
          <w:highlight w:val="none"/>
          <w:shd w:val="clear" w:color="auto" w:fill="auto"/>
          <w:lang w:val="en-US" w:eastAsia="zh-CN" w:bidi="ar-SA"/>
        </w:rPr>
        <w:t>5万</w:t>
      </w:r>
      <w:r>
        <w:rPr>
          <w:rFonts w:hint="eastAsia" w:cs="宋体"/>
          <w:color w:val="auto"/>
          <w:kern w:val="0"/>
          <w:sz w:val="28"/>
          <w:szCs w:val="28"/>
          <w:highlight w:val="none"/>
          <w:shd w:val="clear" w:color="auto" w:fill="auto"/>
          <w:lang w:val="en-US" w:eastAsia="zh-CN" w:bidi="ar-SA"/>
        </w:rPr>
        <w:t>人</w:t>
      </w:r>
      <w:r>
        <w:rPr>
          <w:rFonts w:hint="eastAsia"/>
          <w:color w:val="auto"/>
          <w:sz w:val="28"/>
          <w:szCs w:val="28"/>
          <w:lang w:val="en-US" w:eastAsia="zh-CN"/>
        </w:rPr>
        <w:t>。</w:t>
      </w:r>
      <w:r>
        <w:rPr>
          <w:rFonts w:hint="eastAsia"/>
          <w:color w:val="auto"/>
          <w:lang w:val="en-US" w:eastAsia="zh-CN"/>
        </w:rPr>
        <w:t>实际完成率=（5/5）*100%=100%。</w:t>
      </w:r>
    </w:p>
    <w:p>
      <w:pPr>
        <w:bidi w:val="0"/>
        <w:rPr>
          <w:rFonts w:hint="default"/>
          <w:color w:val="auto"/>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年内完成各类读书活动</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≥20场</w:t>
      </w:r>
      <w:r>
        <w:rPr>
          <w:rFonts w:hint="eastAsia"/>
          <w:color w:val="auto"/>
          <w:sz w:val="28"/>
          <w:szCs w:val="28"/>
          <w:lang w:val="en-US" w:eastAsia="zh-CN"/>
        </w:rPr>
        <w:t>，实际完成为</w:t>
      </w:r>
      <w:r>
        <w:rPr>
          <w:rFonts w:hint="eastAsia" w:ascii="宋体" w:hAnsi="宋体" w:eastAsia="宋体" w:cs="宋体"/>
          <w:color w:val="auto"/>
          <w:kern w:val="0"/>
          <w:sz w:val="28"/>
          <w:szCs w:val="28"/>
          <w:highlight w:val="none"/>
          <w:shd w:val="clear" w:color="auto" w:fill="auto"/>
          <w:lang w:val="en-US" w:eastAsia="zh-CN"/>
        </w:rPr>
        <w:t>20场</w:t>
      </w:r>
      <w:r>
        <w:rPr>
          <w:rFonts w:hint="eastAsia"/>
          <w:color w:val="auto"/>
          <w:sz w:val="28"/>
          <w:szCs w:val="28"/>
          <w:lang w:val="en-US" w:eastAsia="zh-CN"/>
        </w:rPr>
        <w:t>。</w:t>
      </w:r>
      <w:r>
        <w:rPr>
          <w:rFonts w:hint="eastAsia"/>
          <w:color w:val="auto"/>
          <w:lang w:val="en-US" w:eastAsia="zh-CN"/>
        </w:rPr>
        <w:t>实际完成率%=（20/20）*100%=100%。</w:t>
      </w:r>
    </w:p>
    <w:p>
      <w:pPr>
        <w:bidi w:val="0"/>
        <w:rPr>
          <w:rFonts w:hint="eastAsia"/>
          <w:color w:val="auto"/>
          <w:lang w:eastAsia="zh-CN"/>
        </w:rPr>
      </w:pPr>
      <w:r>
        <w:rPr>
          <w:rFonts w:hint="eastAsia"/>
          <w:b/>
          <w:bCs/>
          <w:color w:val="auto"/>
          <w:lang w:val="en-US" w:eastAsia="zh-CN"/>
        </w:rPr>
        <w:t>综上，该项指标满分7分，得分7分。</w:t>
      </w:r>
    </w:p>
    <w:p>
      <w:pPr>
        <w:numPr>
          <w:ilvl w:val="0"/>
          <w:numId w:val="5"/>
        </w:numPr>
        <w:bidi w:val="0"/>
        <w:ind w:left="0" w:leftChars="0" w:firstLine="562" w:firstLineChars="200"/>
        <w:rPr>
          <w:rFonts w:hint="eastAsia"/>
          <w:b/>
          <w:bCs/>
          <w:color w:val="auto"/>
          <w:lang w:val="en-US" w:eastAsia="zh-CN"/>
        </w:rPr>
      </w:pPr>
      <w:r>
        <w:rPr>
          <w:rFonts w:hint="eastAsia"/>
          <w:b/>
          <w:bCs/>
          <w:color w:val="auto"/>
          <w:lang w:val="en-US" w:eastAsia="zh-CN"/>
        </w:rPr>
        <w:t>项目完成质量</w:t>
      </w:r>
    </w:p>
    <w:p>
      <w:pPr>
        <w:numPr>
          <w:ilvl w:val="0"/>
          <w:numId w:val="0"/>
        </w:numPr>
        <w:bidi w:val="0"/>
        <w:ind w:firstLine="560" w:firstLineChars="20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免费开放绩效考评率</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≥95%</w:t>
      </w:r>
      <w:r>
        <w:rPr>
          <w:rFonts w:hint="eastAsia"/>
          <w:color w:val="auto"/>
          <w:sz w:val="28"/>
          <w:szCs w:val="28"/>
          <w:lang w:val="en-US" w:eastAsia="zh-CN"/>
        </w:rPr>
        <w:t>，实际完成为</w:t>
      </w:r>
      <w:r>
        <w:rPr>
          <w:rFonts w:hint="eastAsia" w:ascii="宋体" w:hAnsi="宋体" w:eastAsia="宋体" w:cs="宋体"/>
          <w:color w:val="auto"/>
          <w:kern w:val="0"/>
          <w:sz w:val="28"/>
          <w:szCs w:val="28"/>
          <w:highlight w:val="none"/>
          <w:shd w:val="clear" w:color="auto" w:fill="auto"/>
          <w:lang w:val="en-US" w:eastAsia="zh-CN" w:bidi="ar-SA"/>
        </w:rPr>
        <w:t>100%</w:t>
      </w:r>
      <w:r>
        <w:rPr>
          <w:rFonts w:hint="eastAsia"/>
          <w:color w:val="auto"/>
          <w:sz w:val="28"/>
          <w:szCs w:val="28"/>
          <w:lang w:val="en-US" w:eastAsia="zh-CN"/>
        </w:rPr>
        <w:t>。</w:t>
      </w:r>
    </w:p>
    <w:p>
      <w:pPr>
        <w:bidi w:val="0"/>
        <w:rPr>
          <w:rFonts w:hint="eastAsia"/>
          <w:color w:val="auto"/>
          <w:lang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社会教育服务水平</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≥95%</w:t>
      </w:r>
      <w:r>
        <w:rPr>
          <w:rFonts w:hint="eastAsia"/>
          <w:color w:val="auto"/>
          <w:sz w:val="28"/>
          <w:szCs w:val="28"/>
          <w:lang w:val="en-US" w:eastAsia="zh-CN"/>
        </w:rPr>
        <w:t>，实际完成为</w:t>
      </w:r>
      <w:r>
        <w:rPr>
          <w:rFonts w:hint="eastAsia" w:ascii="宋体" w:hAnsi="宋体" w:eastAsia="宋体" w:cs="宋体"/>
          <w:color w:val="auto"/>
          <w:kern w:val="0"/>
          <w:sz w:val="28"/>
          <w:szCs w:val="28"/>
          <w:highlight w:val="none"/>
          <w:shd w:val="clear" w:color="auto" w:fill="auto"/>
          <w:lang w:val="en-US" w:eastAsia="zh-CN" w:bidi="ar-SA"/>
        </w:rPr>
        <w:t>100%</w:t>
      </w:r>
      <w:r>
        <w:rPr>
          <w:rFonts w:hint="eastAsia"/>
          <w:color w:val="auto"/>
          <w:sz w:val="28"/>
          <w:szCs w:val="28"/>
          <w:lang w:val="en-US" w:eastAsia="zh-CN"/>
        </w:rPr>
        <w:t>。</w:t>
      </w:r>
    </w:p>
    <w:p>
      <w:pPr>
        <w:bidi w:val="0"/>
        <w:rPr>
          <w:rFonts w:hint="eastAsia"/>
          <w:color w:val="auto"/>
          <w:lang w:eastAsia="zh-CN"/>
        </w:rPr>
      </w:pPr>
      <w:r>
        <w:rPr>
          <w:rFonts w:hint="eastAsia"/>
          <w:b/>
          <w:bCs/>
          <w:color w:val="auto"/>
          <w:lang w:val="en-US" w:eastAsia="zh-CN"/>
        </w:rPr>
        <w:t>综上，该项指标满分6分，得分6分。</w:t>
      </w:r>
    </w:p>
    <w:p>
      <w:pPr>
        <w:bidi w:val="0"/>
        <w:rPr>
          <w:rFonts w:hint="default"/>
          <w:b/>
          <w:bCs/>
          <w:color w:val="auto"/>
          <w:lang w:val="en-US" w:eastAsia="zh-CN"/>
        </w:rPr>
      </w:pPr>
      <w:r>
        <w:rPr>
          <w:rFonts w:hint="eastAsia"/>
          <w:b/>
          <w:bCs/>
          <w:color w:val="auto"/>
          <w:lang w:val="en-US" w:eastAsia="zh-CN"/>
        </w:rPr>
        <w:t xml:space="preserve">3.项目完成时效 </w:t>
      </w:r>
    </w:p>
    <w:p>
      <w:pPr>
        <w:bidi w:val="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年内各类读书活动完成时间</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2022/12/31</w:t>
      </w:r>
      <w:r>
        <w:rPr>
          <w:rFonts w:hint="eastAsia"/>
          <w:color w:val="auto"/>
          <w:sz w:val="28"/>
          <w:szCs w:val="28"/>
          <w:lang w:val="en-US" w:eastAsia="zh-CN"/>
        </w:rPr>
        <w:t>，实际完成为</w:t>
      </w:r>
      <w:r>
        <w:rPr>
          <w:rFonts w:hint="eastAsia" w:ascii="宋体" w:hAnsi="宋体" w:eastAsia="宋体" w:cs="宋体"/>
          <w:color w:val="auto"/>
          <w:kern w:val="0"/>
          <w:sz w:val="28"/>
          <w:szCs w:val="28"/>
          <w:highlight w:val="none"/>
          <w:shd w:val="clear" w:color="auto" w:fill="auto"/>
          <w:lang w:val="en-US" w:eastAsia="zh-CN" w:bidi="ar-SA"/>
        </w:rPr>
        <w:t>100%</w:t>
      </w:r>
      <w:r>
        <w:rPr>
          <w:rFonts w:hint="eastAsia"/>
          <w:color w:val="auto"/>
          <w:sz w:val="28"/>
          <w:szCs w:val="28"/>
          <w:lang w:val="en-US" w:eastAsia="zh-CN"/>
        </w:rPr>
        <w:t>。</w:t>
      </w:r>
    </w:p>
    <w:p>
      <w:pPr>
        <w:bidi w:val="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年内各类读书活动完成时间及时率</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bidi="ar-SA"/>
        </w:rPr>
        <w:t>100%</w:t>
      </w:r>
      <w:r>
        <w:rPr>
          <w:rFonts w:hint="eastAsia"/>
          <w:color w:val="auto"/>
          <w:sz w:val="28"/>
          <w:szCs w:val="28"/>
          <w:lang w:val="en-US" w:eastAsia="zh-CN"/>
        </w:rPr>
        <w:t>，实际完成为</w:t>
      </w:r>
      <w:r>
        <w:rPr>
          <w:rFonts w:hint="eastAsia" w:ascii="宋体" w:hAnsi="宋体" w:eastAsia="宋体" w:cs="宋体"/>
          <w:color w:val="auto"/>
          <w:kern w:val="0"/>
          <w:sz w:val="28"/>
          <w:szCs w:val="28"/>
          <w:highlight w:val="none"/>
          <w:shd w:val="clear" w:color="auto" w:fill="auto"/>
          <w:lang w:val="en-US" w:eastAsia="zh-CN" w:bidi="ar-SA"/>
        </w:rPr>
        <w:t>100%</w:t>
      </w:r>
      <w:r>
        <w:rPr>
          <w:rFonts w:hint="eastAsia"/>
          <w:color w:val="auto"/>
          <w:sz w:val="28"/>
          <w:szCs w:val="28"/>
          <w:lang w:val="en-US" w:eastAsia="zh-CN"/>
        </w:rPr>
        <w:t>。</w:t>
      </w:r>
    </w:p>
    <w:p>
      <w:pPr>
        <w:bidi w:val="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举办免费开放展览、培训、讲座完成时间</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2022/12/31</w:t>
      </w:r>
      <w:r>
        <w:rPr>
          <w:rFonts w:hint="eastAsia"/>
          <w:color w:val="auto"/>
          <w:sz w:val="28"/>
          <w:szCs w:val="28"/>
          <w:lang w:val="en-US" w:eastAsia="zh-CN"/>
        </w:rPr>
        <w:t>，实际完成为</w:t>
      </w:r>
      <w:r>
        <w:rPr>
          <w:rFonts w:hint="eastAsia" w:ascii="宋体" w:hAnsi="宋体" w:eastAsia="宋体" w:cs="宋体"/>
          <w:color w:val="auto"/>
          <w:kern w:val="0"/>
          <w:sz w:val="28"/>
          <w:szCs w:val="28"/>
          <w:highlight w:val="none"/>
          <w:shd w:val="clear" w:color="auto" w:fill="auto"/>
          <w:lang w:val="en-US" w:eastAsia="zh-CN" w:bidi="ar-SA"/>
        </w:rPr>
        <w:t>100%</w:t>
      </w:r>
      <w:r>
        <w:rPr>
          <w:rFonts w:hint="eastAsia"/>
          <w:color w:val="auto"/>
          <w:sz w:val="28"/>
          <w:szCs w:val="28"/>
          <w:lang w:val="en-US" w:eastAsia="zh-CN"/>
        </w:rPr>
        <w:t>。</w:t>
      </w:r>
    </w:p>
    <w:p>
      <w:pPr>
        <w:bidi w:val="0"/>
        <w:rPr>
          <w:rFonts w:hint="eastAsia"/>
          <w:color w:val="auto"/>
          <w:sz w:val="28"/>
          <w:szCs w:val="28"/>
          <w:lang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举办免费开放展览、培训、讲座完成时间及时率</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bidi="ar-SA"/>
        </w:rPr>
        <w:t>100%</w:t>
      </w:r>
      <w:r>
        <w:rPr>
          <w:rFonts w:hint="eastAsia"/>
          <w:color w:val="auto"/>
          <w:sz w:val="28"/>
          <w:szCs w:val="28"/>
          <w:lang w:val="en-US" w:eastAsia="zh-CN"/>
        </w:rPr>
        <w:t>，实际完成为</w:t>
      </w:r>
      <w:r>
        <w:rPr>
          <w:rFonts w:hint="eastAsia" w:ascii="宋体" w:hAnsi="宋体" w:eastAsia="宋体" w:cs="宋体"/>
          <w:color w:val="auto"/>
          <w:kern w:val="0"/>
          <w:sz w:val="28"/>
          <w:szCs w:val="28"/>
          <w:highlight w:val="none"/>
          <w:shd w:val="clear" w:color="auto" w:fill="auto"/>
          <w:lang w:val="en-US" w:eastAsia="zh-CN" w:bidi="ar-SA"/>
        </w:rPr>
        <w:t>100%</w:t>
      </w:r>
      <w:r>
        <w:rPr>
          <w:rFonts w:hint="eastAsia"/>
          <w:color w:val="auto"/>
          <w:sz w:val="28"/>
          <w:szCs w:val="28"/>
          <w:lang w:val="en-US" w:eastAsia="zh-CN"/>
        </w:rPr>
        <w:t>。</w:t>
      </w:r>
    </w:p>
    <w:p>
      <w:pPr>
        <w:bidi w:val="0"/>
        <w:rPr>
          <w:rFonts w:hint="eastAsia"/>
          <w:color w:val="auto"/>
          <w:lang w:eastAsia="zh-CN"/>
        </w:rPr>
      </w:pPr>
      <w:r>
        <w:rPr>
          <w:rFonts w:hint="eastAsia"/>
          <w:b/>
          <w:bCs/>
          <w:color w:val="auto"/>
          <w:lang w:val="en-US" w:eastAsia="zh-CN"/>
        </w:rPr>
        <w:t>综上，该项指标满分12分，得分12分。</w:t>
      </w:r>
    </w:p>
    <w:p>
      <w:pPr>
        <w:numPr>
          <w:ilvl w:val="0"/>
          <w:numId w:val="5"/>
        </w:numPr>
        <w:bidi w:val="0"/>
        <w:ind w:left="0" w:leftChars="0" w:firstLine="562" w:firstLineChars="200"/>
        <w:rPr>
          <w:rFonts w:hint="eastAsia"/>
          <w:b/>
          <w:bCs/>
          <w:color w:val="auto"/>
          <w:lang w:val="en-US" w:eastAsia="zh-CN"/>
        </w:rPr>
      </w:pPr>
      <w:r>
        <w:rPr>
          <w:rFonts w:hint="eastAsia"/>
          <w:b/>
          <w:bCs/>
          <w:color w:val="auto"/>
          <w:lang w:val="en-US" w:eastAsia="zh-CN"/>
        </w:rPr>
        <w:t xml:space="preserve">项目完成成本 </w:t>
      </w:r>
    </w:p>
    <w:p>
      <w:pPr>
        <w:numPr>
          <w:ilvl w:val="0"/>
          <w:numId w:val="0"/>
        </w:numPr>
        <w:bidi w:val="0"/>
        <w:ind w:firstLine="560" w:firstLineChars="200"/>
        <w:rPr>
          <w:rFonts w:hint="eastAsia"/>
          <w:color w:val="auto"/>
          <w:highlight w:val="none"/>
          <w:lang w:eastAsia="zh-CN"/>
        </w:rPr>
      </w:pPr>
      <w:r>
        <w:rPr>
          <w:rFonts w:hint="eastAsia"/>
          <w:color w:val="auto"/>
          <w:highlight w:val="none"/>
          <w:lang w:eastAsia="zh-CN"/>
        </w:rPr>
        <w:t>“</w:t>
      </w:r>
      <w:r>
        <w:rPr>
          <w:rFonts w:hint="eastAsia" w:ascii="宋体" w:hAnsi="宋体" w:eastAsia="宋体" w:cs="宋体"/>
          <w:color w:val="auto"/>
          <w:kern w:val="0"/>
          <w:sz w:val="28"/>
          <w:szCs w:val="28"/>
          <w:highlight w:val="none"/>
          <w:shd w:val="clear" w:color="auto" w:fill="auto"/>
          <w:lang w:val="en-US" w:eastAsia="zh-CN"/>
        </w:rPr>
        <w:t>免费开放各类图书活动支出</w:t>
      </w:r>
      <w:r>
        <w:rPr>
          <w:rFonts w:hint="eastAsia"/>
          <w:color w:val="auto"/>
          <w:sz w:val="28"/>
          <w:szCs w:val="28"/>
          <w:highlight w:val="none"/>
          <w:lang w:eastAsia="zh-CN"/>
        </w:rPr>
        <w:t>”</w:t>
      </w:r>
      <w:r>
        <w:rPr>
          <w:rFonts w:hint="eastAsia"/>
          <w:color w:val="auto"/>
          <w:highlight w:val="none"/>
          <w:lang w:val="en-US" w:eastAsia="zh-CN"/>
        </w:rPr>
        <w:t>指标，预期指标值为</w:t>
      </w:r>
      <w:r>
        <w:rPr>
          <w:rFonts w:hint="eastAsia" w:ascii="宋体" w:hAnsi="宋体" w:eastAsia="宋体" w:cs="宋体"/>
          <w:color w:val="auto"/>
          <w:kern w:val="0"/>
          <w:sz w:val="20"/>
          <w:szCs w:val="20"/>
          <w:highlight w:val="none"/>
          <w:shd w:val="clear" w:color="auto" w:fill="auto"/>
          <w:lang w:val="en-US" w:eastAsia="zh-CN"/>
        </w:rPr>
        <w:t>≤20万元</w:t>
      </w:r>
      <w:r>
        <w:rPr>
          <w:rFonts w:hint="eastAsia"/>
          <w:color w:val="auto"/>
          <w:highlight w:val="none"/>
          <w:lang w:val="en-US" w:eastAsia="zh-CN"/>
        </w:rPr>
        <w:t>，实际完成为17.02万元。实际完成率=（20/17.02）*100%=85.1%。未完成该指标原因为：由于财政未予以支付，导致资金未支出完毕；措施：2023年加大支出力度。</w:t>
      </w:r>
    </w:p>
    <w:p>
      <w:pPr>
        <w:bidi w:val="0"/>
        <w:rPr>
          <w:rFonts w:hint="eastAsia"/>
          <w:color w:val="auto"/>
          <w:highlight w:val="none"/>
          <w:lang w:eastAsia="zh-CN"/>
        </w:rPr>
      </w:pPr>
      <w:r>
        <w:rPr>
          <w:rFonts w:hint="eastAsia"/>
          <w:b/>
          <w:bCs/>
          <w:color w:val="auto"/>
          <w:highlight w:val="none"/>
          <w:lang w:val="en-US" w:eastAsia="zh-CN"/>
        </w:rPr>
        <w:t>综上，该项指标满分5分，得分4.25分。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继续完善和发展公益项目，为广大读者开拓服务形式，同时加强文化资源建设，增强文献信息</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对全民阅读便利性产生持续作用</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读者满意度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eastAsia"/>
          <w:b/>
          <w:bCs/>
          <w:color w:val="auto"/>
          <w:lang w:val="en-US" w:eastAsia="zh-CN"/>
        </w:rPr>
      </w:pPr>
      <w:r>
        <w:rPr>
          <w:rFonts w:hint="eastAsia"/>
          <w:b/>
          <w:bCs/>
          <w:color w:val="auto"/>
          <w:lang w:val="en-US" w:eastAsia="zh-CN"/>
        </w:rPr>
        <w:t>1.社会效益指标</w:t>
      </w:r>
    </w:p>
    <w:p>
      <w:pPr>
        <w:bidi w:val="0"/>
        <w:rPr>
          <w:rFonts w:hint="eastAsia"/>
          <w:b w:val="0"/>
          <w:bCs w:val="0"/>
          <w:color w:val="auto"/>
          <w:lang w:val="en-US" w:eastAsia="zh-CN"/>
        </w:rPr>
      </w:pPr>
      <w:r>
        <w:rPr>
          <w:rFonts w:hint="eastAsia"/>
          <w:color w:val="auto"/>
          <w:lang w:eastAsia="zh-CN"/>
        </w:rPr>
        <w:t>“</w:t>
      </w:r>
      <w:r>
        <w:rPr>
          <w:rFonts w:hint="eastAsia"/>
          <w:color w:val="auto"/>
          <w:lang w:val="en-US" w:eastAsia="zh-CN"/>
        </w:rPr>
        <w:t>继续完善和发展公益项目，为广大读者开拓服务形式，同时加强文化资源建设，增强文献信息</w:t>
      </w:r>
      <w:r>
        <w:rPr>
          <w:rFonts w:hint="eastAsia"/>
          <w:color w:val="auto"/>
          <w:lang w:eastAsia="zh-CN"/>
        </w:rPr>
        <w:t>”</w:t>
      </w:r>
      <w:r>
        <w:rPr>
          <w:rFonts w:hint="eastAsia"/>
          <w:color w:val="auto"/>
          <w:lang w:val="en-US" w:eastAsia="zh-CN"/>
        </w:rPr>
        <w:t>指标，预期指标值为有效提升，实际完成为改善。</w:t>
      </w:r>
    </w:p>
    <w:p>
      <w:pPr>
        <w:bidi w:val="0"/>
        <w:rPr>
          <w:rFonts w:hint="eastAsia"/>
          <w:color w:val="auto"/>
          <w:lang w:val="en-US" w:eastAsia="zh-CN"/>
        </w:rPr>
      </w:pPr>
      <w:r>
        <w:rPr>
          <w:rFonts w:hint="eastAsia"/>
          <w:b w:val="0"/>
          <w:bCs w:val="0"/>
          <w:color w:val="auto"/>
          <w:lang w:val="en-US" w:eastAsia="zh-CN"/>
        </w:rPr>
        <w:t>通过项目的实施，阜康市图书馆</w:t>
      </w:r>
      <w:r>
        <w:rPr>
          <w:rFonts w:hint="eastAsia"/>
          <w:color w:val="auto"/>
          <w:lang w:val="en-US" w:eastAsia="zh-CN"/>
        </w:rPr>
        <w:t>持续推进完善和发展公益项目，为广大读者开拓服务形式，同时加强文化资源建设，增强文献信息。</w:t>
      </w:r>
    </w:p>
    <w:p>
      <w:pPr>
        <w:bidi w:val="0"/>
        <w:rPr>
          <w:rFonts w:hint="eastAsia"/>
          <w:color w:val="auto"/>
          <w:lang w:val="en-US" w:eastAsia="zh-CN"/>
        </w:rPr>
      </w:pPr>
      <w:r>
        <w:rPr>
          <w:rFonts w:hint="eastAsia"/>
          <w:b/>
          <w:bCs/>
          <w:color w:val="auto"/>
          <w:lang w:val="en-US" w:eastAsia="zh-CN"/>
        </w:rPr>
        <w:t>综上，该项指标满分10分，得分10分。</w:t>
      </w:r>
    </w:p>
    <w:p>
      <w:pPr>
        <w:bidi w:val="0"/>
        <w:rPr>
          <w:rFonts w:hint="eastAsia"/>
          <w:b/>
          <w:bCs/>
          <w:color w:val="auto"/>
          <w:lang w:val="en-US" w:eastAsia="zh-CN"/>
        </w:rPr>
      </w:pPr>
      <w:r>
        <w:rPr>
          <w:rFonts w:hint="eastAsia"/>
          <w:b/>
          <w:bCs/>
          <w:color w:val="auto"/>
          <w:lang w:val="en-US" w:eastAsia="zh-CN"/>
        </w:rPr>
        <w:t>2.可持续影响指标</w:t>
      </w:r>
    </w:p>
    <w:p>
      <w:pPr>
        <w:bidi w:val="0"/>
        <w:rPr>
          <w:rFonts w:hint="eastAsia"/>
          <w:b w:val="0"/>
          <w:bCs w:val="0"/>
          <w:color w:val="auto"/>
          <w:lang w:val="en-US" w:eastAsia="zh-CN"/>
        </w:rPr>
      </w:pPr>
      <w:r>
        <w:rPr>
          <w:rFonts w:hint="eastAsia"/>
          <w:color w:val="auto"/>
          <w:lang w:eastAsia="zh-CN"/>
        </w:rPr>
        <w:t>“</w:t>
      </w:r>
      <w:r>
        <w:rPr>
          <w:rFonts w:hint="eastAsia"/>
          <w:color w:val="auto"/>
          <w:lang w:val="en-US" w:eastAsia="zh-CN"/>
        </w:rPr>
        <w:t>对全民阅读便利性产生持续作用</w:t>
      </w:r>
      <w:r>
        <w:rPr>
          <w:rFonts w:hint="eastAsia"/>
          <w:color w:val="auto"/>
          <w:lang w:eastAsia="zh-CN"/>
        </w:rPr>
        <w:t>”</w:t>
      </w:r>
      <w:r>
        <w:rPr>
          <w:rFonts w:hint="eastAsia"/>
          <w:color w:val="auto"/>
          <w:lang w:val="en-US" w:eastAsia="zh-CN"/>
        </w:rPr>
        <w:t>指标，预期指标值为长期，实际完成为长期。</w:t>
      </w:r>
    </w:p>
    <w:p>
      <w:pPr>
        <w:bidi w:val="0"/>
        <w:rPr>
          <w:rFonts w:hint="eastAsia"/>
          <w:color w:val="auto"/>
          <w:lang w:val="en-US" w:eastAsia="zh-CN"/>
        </w:rPr>
      </w:pPr>
      <w:r>
        <w:rPr>
          <w:rFonts w:hint="eastAsia"/>
          <w:b w:val="0"/>
          <w:bCs w:val="0"/>
          <w:color w:val="auto"/>
          <w:lang w:val="en-US" w:eastAsia="zh-CN"/>
        </w:rPr>
        <w:t>通过项目的实施，</w:t>
      </w:r>
      <w:r>
        <w:rPr>
          <w:rFonts w:hint="eastAsia"/>
          <w:color w:val="auto"/>
          <w:lang w:val="en-US" w:eastAsia="zh-CN"/>
        </w:rPr>
        <w:t>对全民阅读便利性产生持续作用。</w:t>
      </w:r>
    </w:p>
    <w:p>
      <w:pPr>
        <w:bidi w:val="0"/>
        <w:rPr>
          <w:rFonts w:hint="eastAsia"/>
          <w:color w:val="auto"/>
          <w:lang w:val="en-US" w:eastAsia="zh-CN"/>
        </w:rPr>
      </w:pPr>
      <w:r>
        <w:rPr>
          <w:rFonts w:hint="eastAsia"/>
          <w:b/>
          <w:bCs/>
          <w:color w:val="auto"/>
          <w:lang w:val="en-US" w:eastAsia="zh-CN"/>
        </w:rPr>
        <w:t>综上，该项指标满分10分，得分10分。</w:t>
      </w:r>
    </w:p>
    <w:p>
      <w:pPr>
        <w:bidi w:val="0"/>
        <w:rPr>
          <w:rFonts w:hint="eastAsia"/>
          <w:b/>
          <w:bCs/>
          <w:color w:val="auto"/>
          <w:lang w:val="en-US" w:eastAsia="zh-CN"/>
        </w:rPr>
      </w:pPr>
      <w:r>
        <w:rPr>
          <w:rFonts w:hint="eastAsia"/>
          <w:b/>
          <w:bCs/>
          <w:color w:val="auto"/>
          <w:lang w:val="en-US" w:eastAsia="zh-CN"/>
        </w:rPr>
        <w:t>3.满意度指标</w:t>
      </w:r>
    </w:p>
    <w:p>
      <w:pPr>
        <w:bidi w:val="0"/>
        <w:rPr>
          <w:rFonts w:hint="eastAsia"/>
          <w:b/>
          <w:bCs/>
          <w:color w:val="auto"/>
          <w:lang w:val="en-US" w:eastAsia="zh-CN"/>
        </w:rPr>
      </w:pPr>
      <w:r>
        <w:rPr>
          <w:rFonts w:hint="eastAsia"/>
          <w:color w:val="auto"/>
          <w:lang w:eastAsia="zh-CN"/>
        </w:rPr>
        <w:t>“</w:t>
      </w:r>
      <w:r>
        <w:rPr>
          <w:rFonts w:hint="eastAsia"/>
          <w:color w:val="auto"/>
          <w:lang w:val="en-US" w:eastAsia="zh-CN"/>
        </w:rPr>
        <w:t>读者满意度</w:t>
      </w:r>
      <w:r>
        <w:rPr>
          <w:rFonts w:hint="eastAsia"/>
          <w:color w:val="auto"/>
          <w:lang w:eastAsia="zh-CN"/>
        </w:rPr>
        <w:t>”</w:t>
      </w:r>
      <w:r>
        <w:rPr>
          <w:rFonts w:hint="eastAsia"/>
          <w:color w:val="auto"/>
          <w:lang w:val="en-US" w:eastAsia="zh-CN"/>
        </w:rPr>
        <w:t>指标，预期指标值为≥95%，实际完成为95%。</w:t>
      </w:r>
    </w:p>
    <w:p>
      <w:pPr>
        <w:bidi w:val="0"/>
        <w:rPr>
          <w:rFonts w:hint="eastAsia" w:ascii="宋体" w:hAnsi="宋体" w:eastAsia="宋体" w:cs="宋体"/>
          <w:b/>
          <w:bCs/>
          <w:color w:val="auto"/>
          <w:highlight w:val="none"/>
          <w:shd w:val="clear" w:color="auto" w:fill="auto"/>
          <w:lang w:val="en-US" w:eastAsia="zh-CN"/>
        </w:rPr>
      </w:pPr>
      <w:r>
        <w:rPr>
          <w:rFonts w:hint="eastAsia"/>
          <w:b/>
          <w:bCs/>
          <w:color w:val="auto"/>
          <w:lang w:val="en-US" w:eastAsia="zh-CN"/>
        </w:rPr>
        <w:t>综上，该项指标满分10分，得分10分。</w:t>
      </w:r>
    </w:p>
    <w:p>
      <w:pPr>
        <w:pStyle w:val="3"/>
        <w:pageBreakBefore w:val="0"/>
        <w:kinsoku/>
        <w:wordWrap/>
        <w:overflowPunct/>
        <w:topLinePunct w:val="0"/>
        <w:autoSpaceDE/>
        <w:autoSpaceDN/>
        <w:bidi w:val="0"/>
        <w:adjustRightIn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五、预算执行进度与指标偏差</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该项目预算资金总额为20万元，全年执行数为17.02万元，预算执行率为100%，总体完成率为85.1%。预算执行率与总体完成率之间的偏差为14.9%，存在偏差。</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存在偏差情况的原因是：</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（1）“免费开放各类图书活动支出”指标预期指标值为≤20万元，完成值是17.02万元。原因为：由于疫情原因，部分支付手续未办理，导致资金未支出完毕；措施：2023年加大支出力度。</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lang w:eastAsia="zh-CN"/>
        </w:rPr>
      </w:pPr>
      <w:bookmarkStart w:id="12" w:name="_Toc1921"/>
      <w:bookmarkStart w:id="13" w:name="_Toc28290"/>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lang w:eastAsia="zh-CN"/>
        </w:rPr>
      </w:pPr>
      <w:r>
        <w:rPr>
          <w:rFonts w:hint="eastAsia" w:ascii="宋体" w:hAnsi="宋体" w:eastAsia="宋体" w:cs="宋体"/>
          <w:color w:val="auto"/>
          <w:highlight w:val="none"/>
          <w:shd w:val="clear" w:color="auto" w:fill="auto"/>
          <w:lang w:val="en-US" w:eastAsia="zh-CN"/>
        </w:rPr>
        <w:t>中央补助地方“三馆一站”免费开放补助资金</w:t>
      </w:r>
      <w:r>
        <w:rPr>
          <w:rFonts w:hint="eastAsia"/>
          <w:color w:val="auto"/>
          <w:lang w:val="en-US" w:eastAsia="zh-CN"/>
        </w:rPr>
        <w:t>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20</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17.02</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85.1</w:t>
      </w:r>
      <w:r>
        <w:rPr>
          <w:rFonts w:hint="eastAsia"/>
          <w:color w:val="auto"/>
          <w:lang w:eastAsia="zh-CN"/>
        </w:rPr>
        <w:t>%。</w:t>
      </w:r>
    </w:p>
    <w:p>
      <w:pPr>
        <w:bidi w:val="0"/>
        <w:rPr>
          <w:rFonts w:hint="eastAsia"/>
          <w:color w:val="auto"/>
          <w:lang w:eastAsia="zh-CN"/>
        </w:rPr>
      </w:pPr>
      <w:r>
        <w:rPr>
          <w:rFonts w:hint="eastAsia"/>
          <w:b w:val="0"/>
          <w:bCs w:val="0"/>
          <w:color w:val="auto"/>
          <w:lang w:val="en-US" w:eastAsia="zh-CN"/>
        </w:rPr>
        <w:t>阜康市图书馆</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b w:val="0"/>
          <w:bCs w:val="0"/>
          <w:color w:val="auto"/>
          <w:lang w:val="en-US" w:eastAsia="zh-CN"/>
        </w:rPr>
        <w:t>阜康市图书馆</w:t>
      </w:r>
      <w:r>
        <w:rPr>
          <w:rFonts w:hint="eastAsia"/>
          <w:color w:val="auto"/>
          <w:lang w:eastAsia="zh-CN"/>
        </w:rPr>
        <w:t>事业发展中关系民生与稳定的项目，切实优化资源配置，提高了资金使用的效率和效果。</w:t>
      </w:r>
    </w:p>
    <w:bookmarkEnd w:id="12"/>
    <w:bookmarkEnd w:id="13"/>
    <w:p>
      <w:pPr>
        <w:bidi w:val="0"/>
        <w:rPr>
          <w:rFonts w:hint="eastAsia"/>
          <w:b/>
          <w:bCs/>
          <w:color w:val="auto"/>
          <w:lang w:eastAsia="zh-CN"/>
        </w:rPr>
      </w:pPr>
      <w:r>
        <w:rPr>
          <w:rFonts w:hint="eastAsia"/>
          <w:b/>
          <w:bCs/>
          <w:color w:val="auto"/>
          <w:lang w:eastAsia="zh-CN"/>
        </w:rPr>
        <w:t>（</w:t>
      </w:r>
      <w:r>
        <w:rPr>
          <w:rFonts w:hint="eastAsia"/>
          <w:b/>
          <w:bCs/>
          <w:color w:val="auto"/>
          <w:lang w:val="en-US" w:eastAsia="zh-CN"/>
        </w:rPr>
        <w:t>二</w:t>
      </w:r>
      <w:r>
        <w:rPr>
          <w:rFonts w:hint="eastAsia"/>
          <w:b/>
          <w:bCs/>
          <w:color w:val="auto"/>
          <w:lang w:eastAsia="zh-CN"/>
        </w:rPr>
        <w:t>）</w:t>
      </w:r>
      <w:r>
        <w:rPr>
          <w:rFonts w:hint="eastAsia"/>
          <w:b/>
          <w:bCs/>
          <w:color w:val="auto"/>
        </w:rPr>
        <w:t>存在的问题及原因分析</w:t>
      </w:r>
    </w:p>
    <w:p>
      <w:pPr>
        <w:pStyle w:val="5"/>
        <w:pageBreakBefore w:val="0"/>
        <w:numPr>
          <w:ilvl w:val="0"/>
          <w:numId w:val="0"/>
        </w:numPr>
        <w:kinsoku/>
        <w:wordWrap/>
        <w:overflowPunct/>
        <w:topLinePunct w:val="0"/>
        <w:autoSpaceDE/>
        <w:autoSpaceDN/>
        <w:bidi w:val="0"/>
        <w:spacing w:line="600" w:lineRule="exact"/>
        <w:ind w:firstLine="560" w:firstLineChars="200"/>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w:t>
      </w:r>
      <w:r>
        <w:rPr>
          <w:rFonts w:hint="default" w:ascii="宋体" w:hAnsi="宋体" w:eastAsia="宋体" w:cs="宋体"/>
          <w:b w:val="0"/>
          <w:bCs w:val="0"/>
          <w:color w:val="auto"/>
          <w:kern w:val="2"/>
          <w:sz w:val="28"/>
          <w:szCs w:val="28"/>
          <w:lang w:val="en-US" w:eastAsia="zh-CN" w:bidi="ar-SA"/>
        </w:rPr>
        <w:t>1</w:t>
      </w:r>
      <w:r>
        <w:rPr>
          <w:rFonts w:hint="eastAsia" w:ascii="宋体" w:hAnsi="宋体" w:eastAsia="宋体" w:cs="宋体"/>
          <w:b w:val="0"/>
          <w:bCs w:val="0"/>
          <w:color w:val="auto"/>
          <w:kern w:val="2"/>
          <w:sz w:val="28"/>
          <w:szCs w:val="28"/>
          <w:lang w:val="en-US" w:eastAsia="zh-CN" w:bidi="ar-SA"/>
        </w:rPr>
        <w:t>）在编制项目支出绩效工作过程中，没有考虑相关因素，预算编制工作有待考虑全面，整体绩效预算编制的合理性需要提高，预算执行力度还要进一步加强。</w:t>
      </w:r>
    </w:p>
    <w:p>
      <w:pPr>
        <w:pStyle w:val="5"/>
        <w:pageBreakBefore w:val="0"/>
        <w:numPr>
          <w:ilvl w:val="0"/>
          <w:numId w:val="0"/>
        </w:numPr>
        <w:kinsoku/>
        <w:wordWrap/>
        <w:overflowPunct/>
        <w:topLinePunct w:val="0"/>
        <w:autoSpaceDE/>
        <w:autoSpaceDN/>
        <w:bidi w:val="0"/>
        <w:spacing w:line="600" w:lineRule="exact"/>
        <w:ind w:firstLine="560" w:firstLineChars="200"/>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w:t>
      </w:r>
      <w:r>
        <w:rPr>
          <w:rFonts w:hint="default" w:ascii="宋体" w:hAnsi="宋体" w:eastAsia="宋体" w:cs="宋体"/>
          <w:b w:val="0"/>
          <w:bCs w:val="0"/>
          <w:color w:val="auto"/>
          <w:kern w:val="2"/>
          <w:sz w:val="28"/>
          <w:szCs w:val="28"/>
          <w:lang w:val="en-US" w:eastAsia="zh-CN" w:bidi="ar-SA"/>
        </w:rPr>
        <w:t>2</w:t>
      </w:r>
      <w:r>
        <w:rPr>
          <w:rFonts w:hint="eastAsia" w:ascii="宋体" w:hAnsi="宋体" w:eastAsia="宋体" w:cs="宋体"/>
          <w:b w:val="0"/>
          <w:bCs w:val="0"/>
          <w:color w:val="auto"/>
          <w:kern w:val="2"/>
          <w:sz w:val="28"/>
          <w:szCs w:val="28"/>
          <w:lang w:val="en-US" w:eastAsia="zh-CN" w:bidi="ar-SA"/>
        </w:rPr>
        <w:t>）缺乏科学、统一、完整的财政绩效评价指标体系，并且绩效管理缺乏约束和制度保障。</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七、</w:t>
      </w:r>
      <w:r>
        <w:rPr>
          <w:rFonts w:hint="eastAsia" w:ascii="宋体" w:hAnsi="宋体" w:eastAsia="宋体" w:cs="宋体"/>
          <w:b/>
          <w:bCs/>
          <w:color w:val="auto"/>
          <w:highlight w:val="none"/>
          <w:shd w:val="clear" w:color="auto" w:fill="auto"/>
        </w:rPr>
        <w:t>有关建议</w:t>
      </w:r>
    </w:p>
    <w:p>
      <w:pPr>
        <w:bidi w:val="0"/>
        <w:rPr>
          <w:rFonts w:hint="eastAsia" w:ascii="宋体" w:hAnsi="宋体" w:eastAsia="宋体" w:cs="宋体"/>
          <w:color w:val="auto"/>
          <w:lang w:val="en-US" w:eastAsia="zh-CN"/>
        </w:rPr>
      </w:pPr>
      <w:r>
        <w:rPr>
          <w:rFonts w:hint="eastAsia" w:ascii="宋体" w:hAnsi="宋体" w:eastAsia="宋体" w:cs="宋体"/>
          <w:color w:val="auto"/>
          <w:lang w:eastAsia="zh-CN"/>
        </w:rPr>
        <w:t>（</w:t>
      </w:r>
      <w:r>
        <w:rPr>
          <w:rFonts w:hint="eastAsia" w:cs="宋体"/>
          <w:color w:val="auto"/>
          <w:lang w:val="en-US" w:eastAsia="zh-CN"/>
        </w:rPr>
        <w:t>1</w:t>
      </w:r>
      <w:r>
        <w:rPr>
          <w:rFonts w:hint="eastAsia" w:ascii="宋体" w:hAnsi="宋体" w:eastAsia="宋体" w:cs="宋体"/>
          <w:color w:val="auto"/>
          <w:lang w:eastAsia="zh-CN"/>
        </w:rPr>
        <w:t>）</w:t>
      </w:r>
      <w:r>
        <w:rPr>
          <w:rFonts w:hint="eastAsia" w:ascii="宋体" w:hAnsi="宋体" w:eastAsia="宋体" w:cs="宋体"/>
          <w:color w:val="auto"/>
        </w:rPr>
        <w:t>加强绩效目标编制培训，强化目标审核</w:t>
      </w:r>
      <w:r>
        <w:rPr>
          <w:rFonts w:hint="eastAsia" w:cs="宋体"/>
          <w:color w:val="auto"/>
          <w:lang w:eastAsia="zh-CN"/>
        </w:rPr>
        <w:t>。</w:t>
      </w:r>
    </w:p>
    <w:p>
      <w:pPr>
        <w:pStyle w:val="5"/>
        <w:pageBreakBefore w:val="0"/>
        <w:numPr>
          <w:ilvl w:val="0"/>
          <w:numId w:val="0"/>
        </w:numPr>
        <w:kinsoku/>
        <w:wordWrap/>
        <w:overflowPunct/>
        <w:topLinePunct w:val="0"/>
        <w:autoSpaceDE/>
        <w:autoSpaceDN/>
        <w:bidi w:val="0"/>
        <w:spacing w:line="600" w:lineRule="exact"/>
        <w:ind w:firstLine="560" w:firstLineChars="200"/>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w:t>
      </w:r>
      <w:r>
        <w:rPr>
          <w:rFonts w:hint="default" w:ascii="宋体" w:hAnsi="宋体" w:eastAsia="宋体" w:cs="宋体"/>
          <w:b w:val="0"/>
          <w:bCs w:val="0"/>
          <w:color w:val="auto"/>
          <w:kern w:val="2"/>
          <w:sz w:val="28"/>
          <w:szCs w:val="28"/>
          <w:lang w:val="en-US" w:eastAsia="zh-CN" w:bidi="ar-SA"/>
        </w:rPr>
        <w:t>2</w:t>
      </w:r>
      <w:r>
        <w:rPr>
          <w:rFonts w:hint="eastAsia" w:ascii="宋体" w:hAnsi="宋体" w:eastAsia="宋体" w:cs="宋体"/>
          <w:b w:val="0"/>
          <w:bCs w:val="0"/>
          <w:color w:val="auto"/>
          <w:kern w:val="2"/>
          <w:sz w:val="28"/>
          <w:szCs w:val="28"/>
          <w:lang w:val="en-US" w:eastAsia="zh-CN" w:bidi="ar-SA"/>
        </w:rPr>
        <w:t>）加强资金使用部门对绩效评价工作的认识和重视程度，并将评价结果运用于工作始终。</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w:t>
      </w:r>
      <w:r>
        <w:rPr>
          <w:rFonts w:hint="default" w:ascii="宋体" w:hAnsi="宋体" w:eastAsia="宋体" w:cs="宋体"/>
          <w:b w:val="0"/>
          <w:bCs w:val="0"/>
          <w:color w:val="auto"/>
          <w:kern w:val="2"/>
          <w:sz w:val="28"/>
          <w:szCs w:val="28"/>
          <w:lang w:val="en-US" w:eastAsia="zh-CN" w:bidi="ar-SA"/>
        </w:rPr>
        <w:t>3</w:t>
      </w:r>
      <w:r>
        <w:rPr>
          <w:rFonts w:hint="eastAsia" w:ascii="宋体" w:hAnsi="宋体" w:eastAsia="宋体" w:cs="宋体"/>
          <w:b w:val="0"/>
          <w:bCs w:val="0"/>
          <w:color w:val="auto"/>
          <w:kern w:val="2"/>
          <w:sz w:val="28"/>
          <w:szCs w:val="28"/>
          <w:lang w:val="en-US" w:eastAsia="zh-CN" w:bidi="ar-SA"/>
        </w:rPr>
        <w:t>）做好项目实施管理与资金使用的匹配，根据项目实施计划，制定出科学合理的资金计划，不断提高资金使用效率。</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eastAsia="zh-CN"/>
        </w:rPr>
        <w:t>八</w:t>
      </w:r>
      <w:r>
        <w:rPr>
          <w:rFonts w:hint="eastAsia" w:ascii="宋体" w:hAnsi="宋体" w:eastAsia="宋体" w:cs="宋体"/>
          <w:b/>
          <w:bCs/>
          <w:color w:val="auto"/>
          <w:highlight w:val="none"/>
          <w:shd w:val="clear" w:color="auto" w:fill="auto"/>
        </w:rPr>
        <w:t>、其他需要说明的问题</w:t>
      </w:r>
    </w:p>
    <w:p>
      <w:pPr>
        <w:bidi w:val="0"/>
        <w:rPr>
          <w:rFonts w:hint="default" w:ascii="宋体" w:hAnsi="宋体" w:eastAsia="宋体" w:cs="宋体"/>
          <w:color w:val="auto"/>
          <w:lang w:val="en-US" w:eastAsia="zh-CN"/>
        </w:rPr>
      </w:pPr>
      <w:r>
        <w:rPr>
          <w:rFonts w:hint="eastAsia" w:ascii="宋体" w:hAnsi="宋体" w:eastAsia="宋体" w:cs="宋体"/>
          <w:color w:val="auto"/>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auto"/>
          <w:highlight w:val="none"/>
          <w:shd w:val="clear" w:color="auto" w:fill="auto"/>
          <w:lang w:val="en-US" w:eastAsia="zh-CN"/>
        </w:rPr>
      </w:pPr>
    </w:p>
    <w:p>
      <w:pPr>
        <w:ind w:left="0" w:leftChars="0" w:firstLine="0" w:firstLineChars="0"/>
        <w:rPr>
          <w:rFonts w:hint="eastAsia"/>
          <w:color w:val="auto"/>
          <w:lang w:val="en-US" w:eastAsia="zh-CN"/>
        </w:rPr>
      </w:pPr>
      <w:r>
        <w:rPr>
          <w:rFonts w:hint="eastAsia"/>
          <w:color w:val="auto"/>
          <w:lang w:val="en-US" w:eastAsia="zh-CN"/>
        </w:rPr>
        <w:br w:type="page"/>
      </w:r>
    </w:p>
    <w:tbl>
      <w:tblPr>
        <w:tblStyle w:val="9"/>
        <w:tblW w:w="9080" w:type="dxa"/>
        <w:jc w:val="center"/>
        <w:tblLayout w:type="fixed"/>
        <w:tblCellMar>
          <w:top w:w="0" w:type="dxa"/>
          <w:left w:w="108" w:type="dxa"/>
          <w:bottom w:w="0" w:type="dxa"/>
          <w:right w:w="108" w:type="dxa"/>
        </w:tblCellMar>
      </w:tblPr>
      <w:tblGrid>
        <w:gridCol w:w="588"/>
        <w:gridCol w:w="980"/>
        <w:gridCol w:w="1069"/>
        <w:gridCol w:w="773"/>
        <w:gridCol w:w="1134"/>
        <w:gridCol w:w="284"/>
        <w:gridCol w:w="869"/>
        <w:gridCol w:w="832"/>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color w:val="auto"/>
                <w:kern w:val="0"/>
                <w:sz w:val="32"/>
                <w:szCs w:val="32"/>
              </w:rPr>
            </w:pPr>
            <w:r>
              <w:rPr>
                <w:rFonts w:hint="eastAsia" w:ascii="宋体" w:hAnsi="宋体" w:eastAsia="宋体" w:cs="宋体"/>
                <w:b/>
                <w:bCs/>
                <w:color w:val="auto"/>
                <w:kern w:val="0"/>
                <w:sz w:val="32"/>
                <w:szCs w:val="32"/>
                <w:lang w:val="en-US" w:eastAsia="zh-CN"/>
              </w:rPr>
              <w:t xml:space="preserve">附件一             </w:t>
            </w:r>
            <w:r>
              <w:rPr>
                <w:rFonts w:hint="eastAsia" w:ascii="宋体" w:hAnsi="宋体" w:eastAsia="宋体" w:cs="宋体"/>
                <w:b/>
                <w:bCs/>
                <w:color w:val="auto"/>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w:t>
            </w:r>
            <w:r>
              <w:rPr>
                <w:rFonts w:hint="eastAsia" w:cs="宋体"/>
                <w:color w:val="auto"/>
                <w:kern w:val="0"/>
                <w:sz w:val="22"/>
                <w:szCs w:val="22"/>
                <w:lang w:val="en-US" w:eastAsia="zh-CN"/>
              </w:rPr>
              <w:t>2022</w:t>
            </w:r>
            <w:r>
              <w:rPr>
                <w:rFonts w:hint="eastAsia" w:ascii="宋体" w:hAnsi="宋体" w:eastAsia="宋体" w:cs="宋体"/>
                <w:color w:val="auto"/>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昌州财教【2021】62号中央补助地方“三馆一站”免费开放补助资金</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主管部门</w:t>
            </w:r>
          </w:p>
        </w:tc>
        <w:tc>
          <w:tcPr>
            <w:tcW w:w="4129"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阜康市图书馆</w:t>
            </w:r>
          </w:p>
        </w:tc>
        <w:tc>
          <w:tcPr>
            <w:tcW w:w="111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阜康市图书馆</w:t>
            </w:r>
          </w:p>
        </w:tc>
      </w:tr>
      <w:tr>
        <w:tblPrEx>
          <w:tblCellMar>
            <w:top w:w="0" w:type="dxa"/>
            <w:left w:w="108" w:type="dxa"/>
            <w:bottom w:w="0" w:type="dxa"/>
            <w:right w:w="108" w:type="dxa"/>
          </w:tblCellMar>
        </w:tblPrEx>
        <w:trPr>
          <w:trHeight w:val="305"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项目资金</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年初预算数</w:t>
            </w:r>
          </w:p>
        </w:tc>
        <w:tc>
          <w:tcPr>
            <w:tcW w:w="115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全年预算数</w:t>
            </w:r>
          </w:p>
        </w:tc>
        <w:tc>
          <w:tcPr>
            <w:tcW w:w="111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w:t>
            </w:r>
          </w:p>
        </w:tc>
        <w:tc>
          <w:tcPr>
            <w:tcW w:w="115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w:t>
            </w:r>
          </w:p>
        </w:tc>
        <w:tc>
          <w:tcPr>
            <w:tcW w:w="111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17.02</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0.851</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8.51</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w:t>
            </w:r>
          </w:p>
        </w:tc>
        <w:tc>
          <w:tcPr>
            <w:tcW w:w="115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w:t>
            </w:r>
          </w:p>
        </w:tc>
        <w:tc>
          <w:tcPr>
            <w:tcW w:w="111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17.02</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5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1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53"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15"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年度总体目标</w:t>
            </w:r>
          </w:p>
        </w:tc>
        <w:tc>
          <w:tcPr>
            <w:tcW w:w="510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预期目标</w:t>
            </w:r>
          </w:p>
        </w:tc>
        <w:tc>
          <w:tcPr>
            <w:tcW w:w="338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实际完成情况</w:t>
            </w:r>
          </w:p>
        </w:tc>
      </w:tr>
      <w:tr>
        <w:tblPrEx>
          <w:tblCellMar>
            <w:top w:w="0" w:type="dxa"/>
            <w:left w:w="108" w:type="dxa"/>
            <w:bottom w:w="0" w:type="dxa"/>
            <w:right w:w="108" w:type="dxa"/>
          </w:tblCellMar>
        </w:tblPrEx>
        <w:trPr>
          <w:trHeight w:val="269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10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阜康市图书馆以公共图书馆免费开放为契机，同过不断加大财政投入，不断拓展公共服务文化领域。建立长久城乡居民享受到更加丰富多彩的公共服务。2022年预计完成全年接待读者数量5万人，年内完成各类图书活动20场次，免费开放绩效考评率95%，社会教育厅服务水平预计达到95%，预计2022年12月31日前完成各类读书活动以及举办免费开放展览、培训、讲座，预计免费开放各类图书活动支出20万元，阜康市图书馆2022年将继续完善和发展公益项目，为广大读者开拓服务形式，同时加强文化资源建设，增强文献信息。</w:t>
            </w:r>
          </w:p>
        </w:tc>
        <w:tc>
          <w:tcPr>
            <w:tcW w:w="338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截止2022年12月31日，本单位实际完成全年接待读者数量5万人，年内完成各类图书活动20场次，免费开放绩效考评率100%，社会教育厅服务水平预计达到100%，2022年12月31日前完成各类读书活动以及举办免费开放展览、培训、讲座，免费开放各类图书活动支出17.02万元，阜康市图书馆2023年将继续完善和发展公益项目，为广大读者开拓服务形式，同时加强文化资源建设，增强文献信息。</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效</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一级指标</w:t>
            </w:r>
          </w:p>
        </w:tc>
        <w:tc>
          <w:tcPr>
            <w:tcW w:w="10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二级指标</w:t>
            </w: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三级指标</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指标值</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产出指标</w:t>
            </w:r>
          </w:p>
        </w:tc>
        <w:tc>
          <w:tcPr>
            <w:tcW w:w="10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数量指标</w:t>
            </w: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全年接待读者数量</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≥5万人</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5万人</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0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年内完成各类读书活动</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≥20场</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20场</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0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质量指标</w:t>
            </w: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免费开放绩效考评率</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≥95%</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0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社会教育服务水平</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≥95%</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069"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时效指标</w:t>
            </w: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年内各类读书活动完成时间</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2022/12/31</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069"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年内各类读书活动完成时间及时率</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52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069"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举办免费开放展览、培训、讲座完成时间</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2022/12/31</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069" w:type="dxa"/>
            <w:vMerge w:val="continue"/>
            <w:tcBorders>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举办免费开放展览、培训、讲座完成时间及时率</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145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069"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成本指标</w:t>
            </w: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免费开放各类图书活动支出</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≤20万元</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17.02万元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9.255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原因：由于财政未予以支付，导致资金未支出完毕；措施：2023年加大支出力度。</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效益指标</w:t>
            </w:r>
          </w:p>
        </w:tc>
        <w:tc>
          <w:tcPr>
            <w:tcW w:w="1069"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经济效益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102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069"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社会效益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继续完善和发展公益项目，为广大读者开拓服务形式，同时加强文化资源建设，增强文献信息</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有效提升</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改善</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069"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生态效益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069"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可持续影响指标</w:t>
            </w: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对全民阅读便利性产生持续作用</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长期</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长期</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满意度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1069"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服务对象满意度指标</w:t>
            </w:r>
          </w:p>
        </w:tc>
        <w:tc>
          <w:tcPr>
            <w:tcW w:w="219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读者满意度</w:t>
            </w:r>
          </w:p>
        </w:tc>
        <w:tc>
          <w:tcPr>
            <w:tcW w:w="869"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≥95%</w:t>
            </w:r>
          </w:p>
        </w:tc>
        <w:tc>
          <w:tcPr>
            <w:tcW w:w="83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97.765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bl>
    <w:p>
      <w:pPr>
        <w:rPr>
          <w:rFonts w:hint="eastAsia"/>
          <w:color w:val="auto"/>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auto"/>
          <w:kern w:val="2"/>
          <w:sz w:val="32"/>
          <w:szCs w:val="24"/>
          <w:highlight w:val="none"/>
          <w:lang w:val="en-US" w:eastAsia="zh-CN" w:bidi="ar-SA"/>
        </w:rPr>
      </w:pPr>
      <w:r>
        <w:rPr>
          <w:rFonts w:hint="eastAsia" w:cs="宋体"/>
          <w:b/>
          <w:bCs/>
          <w:color w:val="auto"/>
          <w:kern w:val="2"/>
          <w:sz w:val="36"/>
          <w:szCs w:val="28"/>
          <w:lang w:val="en-US" w:eastAsia="zh-CN" w:bidi="ar-SA"/>
        </w:rPr>
        <w:t xml:space="preserve">附件二              </w:t>
      </w:r>
      <w:r>
        <w:rPr>
          <w:rFonts w:hint="eastAsia" w:ascii="宋体" w:hAnsi="宋体" w:eastAsia="宋体" w:cs="宋体"/>
          <w:b/>
          <w:bCs/>
          <w:color w:val="auto"/>
          <w:kern w:val="2"/>
          <w:sz w:val="36"/>
          <w:szCs w:val="28"/>
          <w:highlight w:val="none"/>
          <w:lang w:val="en-US" w:eastAsia="zh-CN" w:bidi="ar-SA"/>
        </w:rPr>
        <w:t>项目支出绩效评价指标体系打分表</w:t>
      </w:r>
    </w:p>
    <w:tbl>
      <w:tblPr>
        <w:tblStyle w:val="9"/>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立项依据</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①项目立项是否符合国家法律法规、国民经济发展规划和相关政策；</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②项目立项是否符合行业发展规划和政策要求；</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③项目立项是否与部门职责范围相符，属于部门履职所需；</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④项目是否属于公共财政支持范围，是否符合中央、地方事权支出责任划分原则；</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立项程序</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①项目是否按照规定的程序申请设立；</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②审批文件、材料是否符合相关要求；</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（如未设定预算绩效目标，也可考核其他工作任务目标）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①项目是否有绩效目标；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②项目绩效目标与实际工作内容是否具有相关性；</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绩效指标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①是否将项目绩效目标细化分解为具体的绩效指标；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②是否通过清晰、可衡量的指标值予以体现；</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③是否与项目目标任务数或计划数相对应。</w:t>
            </w:r>
            <w:r>
              <w:rPr>
                <w:rFonts w:hint="eastAsia" w:ascii="宋体" w:hAnsi="宋体" w:eastAsia="宋体" w:cs="宋体"/>
                <w:color w:val="auto"/>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资金投入</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预算编制</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①预算编制是否经过科学论证；</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②预算内容与项目内容是否匹配；</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③预算额度测算依据是否充分，是否按照标准编制；</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资金分配</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①预算资金分配依据是否充分；</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预算执行率=（实际支出资金/实际到位资金）×100%。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3.4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资金使用</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①是否符合国家财经法规和财务管理制度以及有关专项资金管理办法的规定；</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②资金的拨付是否有完整的审批程序和手续；</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③是否符合项目预算批复或合同规定的用途；</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组织实施</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管理制度</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①是否已制定或具有相应的财务和业务管理制度；</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制度执行</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①是否遵守相关法律法规和相关管理规定；</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②项目调整及支出调整手续是否完备；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③项目合同书、验收报告、技术鉴定等资料是否齐全并及时归档；</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实际完成率=（实际产出数/计划产出数）×100%。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实际产出数：一定时期（本年度或项目期）内项目实际产出的产品或提供的服务数量。</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7</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质量达标率=（质量达标产出数/实际产出数）×100%。</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实际完成时间：项目实施单位完成该项目实际所耗用的时间。</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12</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成本节约率=[（计划成本-实际成本）/计划成本]×100%。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实际成本：项目实施单位如期、保质、保量完成既定工作目标实际所耗费的支出。</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4.25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bl>
    <w:p>
      <w:pPr>
        <w:spacing w:line="240" w:lineRule="auto"/>
        <w:ind w:firstLine="0" w:firstLineChars="0"/>
        <w:rPr>
          <w:rFonts w:ascii="Times New Roman" w:hAnsi="Times New Roman" w:eastAsia="仿宋_GB2312" w:cs="Times New Roman"/>
          <w:color w:val="auto"/>
          <w:sz w:val="30"/>
          <w:szCs w:val="24"/>
        </w:rPr>
      </w:pPr>
    </w:p>
    <w:p>
      <w:pPr>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024BA974"/>
    <w:multiLevelType w:val="singleLevel"/>
    <w:tmpl w:val="024BA974"/>
    <w:lvl w:ilvl="0" w:tentative="0">
      <w:start w:val="4"/>
      <w:numFmt w:val="decimal"/>
      <w:lvlText w:val="%1."/>
      <w:lvlJc w:val="left"/>
      <w:pPr>
        <w:tabs>
          <w:tab w:val="left" w:pos="312"/>
        </w:tabs>
      </w:p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CAFD765"/>
    <w:multiLevelType w:val="singleLevel"/>
    <w:tmpl w:val="3CAFD765"/>
    <w:lvl w:ilvl="0" w:tentative="0">
      <w:start w:val="1"/>
      <w:numFmt w:val="decimal"/>
      <w:lvlText w:val="%1."/>
      <w:lvlJc w:val="left"/>
      <w:pPr>
        <w:tabs>
          <w:tab w:val="left" w:pos="312"/>
        </w:tabs>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2200440"/>
    <w:rsid w:val="02284B43"/>
    <w:rsid w:val="02B015E2"/>
    <w:rsid w:val="039C3BA0"/>
    <w:rsid w:val="03A845BB"/>
    <w:rsid w:val="04D63993"/>
    <w:rsid w:val="053E33E3"/>
    <w:rsid w:val="07890F4F"/>
    <w:rsid w:val="082F4F74"/>
    <w:rsid w:val="08CD4815"/>
    <w:rsid w:val="09781BD6"/>
    <w:rsid w:val="0D4452F3"/>
    <w:rsid w:val="0E50455D"/>
    <w:rsid w:val="0F5E5042"/>
    <w:rsid w:val="10510571"/>
    <w:rsid w:val="109B23B1"/>
    <w:rsid w:val="11FA6155"/>
    <w:rsid w:val="12CF0947"/>
    <w:rsid w:val="12F1313F"/>
    <w:rsid w:val="136C678E"/>
    <w:rsid w:val="13EB2FF5"/>
    <w:rsid w:val="14414324"/>
    <w:rsid w:val="165825BC"/>
    <w:rsid w:val="176F36D7"/>
    <w:rsid w:val="18456B1E"/>
    <w:rsid w:val="1C1171C5"/>
    <w:rsid w:val="1DA41A79"/>
    <w:rsid w:val="1DF53469"/>
    <w:rsid w:val="1E58492F"/>
    <w:rsid w:val="1E5B6757"/>
    <w:rsid w:val="1ED10AC6"/>
    <w:rsid w:val="1FC0575D"/>
    <w:rsid w:val="21B00C1D"/>
    <w:rsid w:val="23031BEB"/>
    <w:rsid w:val="233C225C"/>
    <w:rsid w:val="23917691"/>
    <w:rsid w:val="244D65B8"/>
    <w:rsid w:val="245E1E24"/>
    <w:rsid w:val="264E372D"/>
    <w:rsid w:val="27661469"/>
    <w:rsid w:val="27900EAD"/>
    <w:rsid w:val="279B538A"/>
    <w:rsid w:val="286F545C"/>
    <w:rsid w:val="29314FBC"/>
    <w:rsid w:val="2C927671"/>
    <w:rsid w:val="2D7C5CD6"/>
    <w:rsid w:val="2E483E7E"/>
    <w:rsid w:val="2F454B19"/>
    <w:rsid w:val="31E3230A"/>
    <w:rsid w:val="33356F64"/>
    <w:rsid w:val="33944516"/>
    <w:rsid w:val="34B62907"/>
    <w:rsid w:val="351E004A"/>
    <w:rsid w:val="38782EDD"/>
    <w:rsid w:val="38AA07CA"/>
    <w:rsid w:val="38F66F0F"/>
    <w:rsid w:val="3B42664A"/>
    <w:rsid w:val="3D836A4E"/>
    <w:rsid w:val="3F391DC3"/>
    <w:rsid w:val="3FBE0BC5"/>
    <w:rsid w:val="4048103A"/>
    <w:rsid w:val="435241E2"/>
    <w:rsid w:val="439E3FA7"/>
    <w:rsid w:val="44B32266"/>
    <w:rsid w:val="44FC64F4"/>
    <w:rsid w:val="467F4585"/>
    <w:rsid w:val="470628CB"/>
    <w:rsid w:val="47555BD4"/>
    <w:rsid w:val="477C4462"/>
    <w:rsid w:val="47CD544F"/>
    <w:rsid w:val="48E12B50"/>
    <w:rsid w:val="499441BE"/>
    <w:rsid w:val="4A2138F0"/>
    <w:rsid w:val="4A583887"/>
    <w:rsid w:val="4B9F6E02"/>
    <w:rsid w:val="4E6E48A8"/>
    <w:rsid w:val="4EEC036B"/>
    <w:rsid w:val="501D2673"/>
    <w:rsid w:val="51852833"/>
    <w:rsid w:val="53555F0F"/>
    <w:rsid w:val="56805705"/>
    <w:rsid w:val="583C7AE0"/>
    <w:rsid w:val="58C33E40"/>
    <w:rsid w:val="59216F96"/>
    <w:rsid w:val="5B9D2CCD"/>
    <w:rsid w:val="5E881013"/>
    <w:rsid w:val="5EE4257E"/>
    <w:rsid w:val="67394C7D"/>
    <w:rsid w:val="68126B38"/>
    <w:rsid w:val="68291A1A"/>
    <w:rsid w:val="691B1594"/>
    <w:rsid w:val="6A17429C"/>
    <w:rsid w:val="6A567EA3"/>
    <w:rsid w:val="6B4B4368"/>
    <w:rsid w:val="6E557973"/>
    <w:rsid w:val="6F0D6C22"/>
    <w:rsid w:val="6F47657F"/>
    <w:rsid w:val="70670707"/>
    <w:rsid w:val="720E3691"/>
    <w:rsid w:val="732764B3"/>
    <w:rsid w:val="73DF2DB9"/>
    <w:rsid w:val="75C16D24"/>
    <w:rsid w:val="75E5007C"/>
    <w:rsid w:val="77861774"/>
    <w:rsid w:val="79300B45"/>
    <w:rsid w:val="794D3E18"/>
    <w:rsid w:val="79F3729A"/>
    <w:rsid w:val="7A842BB3"/>
    <w:rsid w:val="7ACB0498"/>
    <w:rsid w:val="7AED0B4D"/>
    <w:rsid w:val="7C1E4487"/>
    <w:rsid w:val="7C215E02"/>
    <w:rsid w:val="7CF23764"/>
    <w:rsid w:val="7D1B64A2"/>
    <w:rsid w:val="7F3B68AE"/>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3"/>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Strong"/>
    <w:basedOn w:val="10"/>
    <w:qFormat/>
    <w:uiPriority w:val="0"/>
    <w:rPr>
      <w:b/>
    </w:rPr>
  </w:style>
  <w:style w:type="paragraph" w:customStyle="1" w:styleId="12">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3">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12450</Words>
  <Characters>13156</Characters>
  <Lines>0</Lines>
  <Paragraphs>0</Paragraphs>
  <TotalTime>0</TotalTime>
  <ScaleCrop>false</ScaleCrop>
  <LinksUpToDate>false</LinksUpToDate>
  <CharactersWithSpaces>13206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